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732C0">
      <w:pPr>
        <w:pStyle w:val="2"/>
        <w:rPr>
          <w:rFonts w:hint="eastAsia" w:ascii="宋体" w:hAnsi="宋体" w:cs="宋体"/>
          <w:color w:val="000000"/>
          <w:highlight w:val="none"/>
        </w:rPr>
      </w:pPr>
      <w:bookmarkStart w:id="0" w:name="_Toc30033"/>
      <w:bookmarkStart w:id="1" w:name="_Toc54939198"/>
      <w:bookmarkStart w:id="2" w:name="_Toc18076"/>
      <w:r>
        <w:rPr>
          <w:rFonts w:hint="eastAsia" w:ascii="宋体" w:hAnsi="宋体" w:cs="宋体"/>
          <w:color w:val="000000"/>
          <w:highlight w:val="none"/>
          <w:lang w:val="en-US" w:eastAsia="zh-CN"/>
        </w:rPr>
        <w:t xml:space="preserve">第三章   </w:t>
      </w:r>
      <w:r>
        <w:rPr>
          <w:rFonts w:hint="eastAsia" w:ascii="宋体" w:hAnsi="宋体" w:cs="宋体"/>
          <w:color w:val="000000"/>
          <w:highlight w:val="none"/>
        </w:rPr>
        <w:t>服务需求及技术要求</w:t>
      </w:r>
      <w:bookmarkEnd w:id="0"/>
      <w:bookmarkEnd w:id="1"/>
      <w:bookmarkEnd w:id="2"/>
    </w:p>
    <w:p w14:paraId="6F257D0F">
      <w:pPr>
        <w:spacing w:line="360" w:lineRule="auto"/>
        <w:ind w:firstLine="422" w:firstLineChars="200"/>
        <w:rPr>
          <w:color w:val="auto"/>
          <w:highlight w:val="none"/>
        </w:rPr>
      </w:pPr>
      <w:r>
        <w:rPr>
          <w:rFonts w:hint="eastAsia" w:cs="Times New Roman"/>
          <w:b/>
          <w:bCs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一、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商务要求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：</w:t>
      </w:r>
    </w:p>
    <w:tbl>
      <w:tblPr>
        <w:tblStyle w:val="5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91"/>
        <w:gridCol w:w="5926"/>
      </w:tblGrid>
      <w:tr w14:paraId="56E5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 w14:paraId="7FC8A695">
            <w:pPr>
              <w:pStyle w:val="4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391" w:type="dxa"/>
            <w:vAlign w:val="center"/>
          </w:tcPr>
          <w:p w14:paraId="5589E9E4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条款名称</w:t>
            </w:r>
          </w:p>
        </w:tc>
        <w:tc>
          <w:tcPr>
            <w:tcW w:w="5926" w:type="dxa"/>
            <w:vAlign w:val="center"/>
          </w:tcPr>
          <w:p w14:paraId="7F515013">
            <w:pPr>
              <w:pStyle w:val="4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具体要求内容</w:t>
            </w:r>
          </w:p>
        </w:tc>
      </w:tr>
      <w:tr w14:paraId="25CB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08" w:type="dxa"/>
            <w:vAlign w:val="center"/>
          </w:tcPr>
          <w:p w14:paraId="094EF0B5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391" w:type="dxa"/>
            <w:vAlign w:val="center"/>
          </w:tcPr>
          <w:p w14:paraId="12858E16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5926" w:type="dxa"/>
            <w:vAlign w:val="center"/>
          </w:tcPr>
          <w:p w14:paraId="5FB6847E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3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服务完成后一次性支付，支付前需提供全额的增值税专用发票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5694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808" w:type="dxa"/>
            <w:vAlign w:val="center"/>
          </w:tcPr>
          <w:p w14:paraId="479ED3C1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391" w:type="dxa"/>
            <w:vAlign w:val="center"/>
          </w:tcPr>
          <w:p w14:paraId="208720BA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5926" w:type="dxa"/>
            <w:vAlign w:val="center"/>
          </w:tcPr>
          <w:p w14:paraId="74039305">
            <w:pPr>
              <w:spacing w:line="420" w:lineRule="exac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拆除地点：安庆开发区3.9工业园安庆皖江高科技投资发展有限公司内研发中心厂房，存放地点：安庆经开区老峰镇孵化园指定地点。</w:t>
            </w:r>
          </w:p>
        </w:tc>
      </w:tr>
      <w:tr w14:paraId="2EB6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08" w:type="dxa"/>
            <w:vAlign w:val="center"/>
          </w:tcPr>
          <w:p w14:paraId="25F97C44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391" w:type="dxa"/>
            <w:vAlign w:val="center"/>
          </w:tcPr>
          <w:p w14:paraId="75F00DFD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期限</w:t>
            </w:r>
          </w:p>
        </w:tc>
        <w:tc>
          <w:tcPr>
            <w:tcW w:w="5926" w:type="dxa"/>
            <w:vAlign w:val="center"/>
          </w:tcPr>
          <w:p w14:paraId="2E41ABE2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合同签订后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日历天完成</w:t>
            </w:r>
          </w:p>
        </w:tc>
      </w:tr>
    </w:tbl>
    <w:p w14:paraId="2326BD53">
      <w:pPr>
        <w:pStyle w:val="3"/>
        <w:pageBreakBefore w:val="0"/>
        <w:widowControl w:val="0"/>
        <w:numPr>
          <w:ilvl w:val="0"/>
          <w:numId w:val="1"/>
        </w:numPr>
        <w:tabs>
          <w:tab w:val="left" w:pos="2730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13" w:firstLineChars="196"/>
        <w:textAlignment w:val="auto"/>
        <w:rPr>
          <w:rFonts w:hint="eastAsia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  <w:t>服务需求</w:t>
      </w:r>
    </w:p>
    <w:p w14:paraId="43E36F04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安庆皖江高科技投资发展有限公司厂房低压设备及电缆拆除项目，具体服务内容</w:t>
      </w:r>
      <w:r>
        <w:rPr>
          <w:rFonts w:hint="eastAsia" w:ascii="宋体" w:hAnsi="宋体" w:cs="宋体"/>
          <w:highlight w:val="none"/>
          <w:lang w:val="en-US" w:eastAsia="zh-CN"/>
        </w:rPr>
        <w:t>如下</w:t>
      </w:r>
      <w:r>
        <w:rPr>
          <w:rFonts w:hint="eastAsia" w:ascii="宋体" w:hAnsi="宋体" w:eastAsia="宋体" w:cs="宋体"/>
          <w:highlight w:val="none"/>
          <w:lang w:val="en-US" w:eastAsia="zh-CN"/>
        </w:rPr>
        <w:t>：</w:t>
      </w:r>
      <w:r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厂房低压设备及电缆拆除项目。</w:t>
      </w:r>
    </w:p>
    <w:p w14:paraId="69A30462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工程量：</w:t>
      </w:r>
    </w:p>
    <w:p w14:paraId="48250329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1、变频柜拆除，约32台。</w:t>
      </w:r>
    </w:p>
    <w:p w14:paraId="3E5BD904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2、GGD低压柜拆除，约8台。</w:t>
      </w:r>
    </w:p>
    <w:p w14:paraId="56C8B9D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3、低压分支箱拆除，约64台。</w:t>
      </w:r>
    </w:p>
    <w:p w14:paraId="099EEC82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4、低压电缆拆除4*150平方毫米，约1050米。</w:t>
      </w:r>
    </w:p>
    <w:p w14:paraId="48537F7B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5、低压电缆拆除4*120平方毫米， 约4800米。</w:t>
      </w:r>
    </w:p>
    <w:p w14:paraId="78E7A1C6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6、电缆桥架拆除，约880米。</w:t>
      </w:r>
    </w:p>
    <w:p w14:paraId="6E088ACB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以上工程量为约数，包括但不限于线缆终端拆除。具体以实地勘察为准，请供应商自行勘察，如因未及时踏勘现场造成不良后果由供应商自行承担。拆除后需运输至安庆经开区老峰镇孵化园指定地点整理堆放。本次拆除过程中有高空作业，成交后成交人</w:t>
      </w:r>
      <w:r>
        <w:rPr>
          <w:rFonts w:hint="eastAsia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需要为高空作业人员购买保险，设备拆除及运输时应尽量保持设备完好，设备配件要求保存完好齐全，按采购人要求存放至指定地点。如在拆除和运输的过程中发生设备或配件的毁损灭失，成交人需按照原价进行赔偿。成交人负责拆除及运输过程中的安全管理，采取必要的安全防护措施，确保施工人员和周边人员的安全。如发生任何安全事故（包括但不限于人身安全、防火安全、用电安全等安全事故），由乙方承担全部责任与损失，甲方不承担任何责任。</w:t>
      </w:r>
    </w:p>
    <w:p w14:paraId="0E501B96">
      <w:pPr>
        <w:pStyle w:val="3"/>
        <w:pageBreakBefore w:val="0"/>
        <w:widowControl w:val="0"/>
        <w:numPr>
          <w:ilvl w:val="0"/>
          <w:numId w:val="0"/>
        </w:numPr>
        <w:tabs>
          <w:tab w:val="left" w:pos="2730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13" w:firstLineChars="196"/>
        <w:textAlignment w:val="auto"/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  <w:t>三</w:t>
      </w:r>
      <w:r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  <w:t>、验收</w:t>
      </w:r>
    </w:p>
    <w:p w14:paraId="29FED0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成交人和采购人双方依据项目内容和进度共同实施验收工作，验收结果和验收报告经双方确认后生效。</w:t>
      </w:r>
    </w:p>
    <w:p w14:paraId="7FA3106B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FD49A"/>
    <w:multiLevelType w:val="singleLevel"/>
    <w:tmpl w:val="995FD4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TM2OTgzZWYzMDE3ZjJjZDgyMzM1Y2M5NTYyZGIifQ=="/>
  </w:docVars>
  <w:rsids>
    <w:rsidRoot w:val="2E3B7E01"/>
    <w:rsid w:val="2E3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2024-09-06T07:19:00Z</dcterms:created>
  <dc:creator>叶叶叶</dc:creator>
  <cp:lastModifiedBy>叶叶叶</cp:lastModifiedBy>
  <dcterms:modified xsi:type="dcterms:W3CDTF">2024-09-06T07:19:43Z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0D88786356C4412D8FE9D52068E3A441_11</vt:lpwstr>
  </property>
</Properties>
</file>