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100" w:after="100"/>
        <w:jc w:val="center"/>
        <w:outlineLvl w:val="0"/>
        <w:rPr>
          <w:rFonts w:ascii="宋体" w:hAnsi="宋体" w:eastAsia="宋体" w:cs="宋体"/>
          <w:b/>
          <w:bCs/>
          <w:color w:val="000000"/>
          <w:kern w:val="44"/>
          <w:sz w:val="32"/>
          <w:szCs w:val="44"/>
          <w:lang w:val="en-US" w:eastAsia="zh-CN" w:bidi="ar-SA"/>
        </w:rPr>
      </w:pPr>
      <w:r>
        <w:rPr>
          <w:rFonts w:hint="eastAsia" w:ascii="宋体" w:hAnsi="宋体" w:eastAsia="宋体" w:cs="宋体"/>
          <w:b/>
          <w:bCs/>
          <w:color w:val="000000"/>
          <w:kern w:val="44"/>
          <w:sz w:val="32"/>
          <w:szCs w:val="44"/>
          <w:lang w:val="en-US" w:eastAsia="zh-CN" w:bidi="ar-SA"/>
        </w:rPr>
        <w:t>货物需求及技术要求</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bookmarkStart w:id="0" w:name="_Toc24273"/>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bookmarkStart w:id="1" w:name="_Toc28001"/>
      <w:r>
        <w:rPr>
          <w:rFonts w:hint="eastAsia" w:ascii="宋体" w:hAnsi="宋体" w:eastAsia="宋体" w:cs="宋体"/>
          <w:b/>
          <w:bCs/>
          <w:i w:val="0"/>
          <w:iCs w:val="0"/>
          <w:color w:val="000000"/>
          <w:kern w:val="0"/>
          <w:sz w:val="24"/>
          <w:szCs w:val="24"/>
          <w:u w:val="none"/>
          <w:lang w:val="en-US" w:eastAsia="zh-CN" w:bidi="ar"/>
        </w:rPr>
        <w:t>1、在采购活动开始前没有获准采购进口产品而开展采购活动的，视同为拒绝采购进口产品。</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3、中标人提供的货物为进口产品的，供货时须向采购人提供所投进口产品的海关报关单等证明材料。</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bCs/>
          <w:color w:val="000000"/>
          <w:kern w:val="0"/>
          <w:sz w:val="24"/>
          <w:szCs w:val="24"/>
          <w:lang w:val="en-US" w:eastAsia="zh-CN" w:bidi="ar-SA"/>
        </w:rPr>
      </w:pPr>
      <w:r>
        <w:rPr>
          <w:rFonts w:hint="eastAsia" w:ascii="宋体" w:hAnsi="宋体" w:eastAsia="宋体" w:cs="宋体"/>
          <w:b/>
          <w:color w:val="000000"/>
          <w:kern w:val="0"/>
          <w:sz w:val="24"/>
          <w:szCs w:val="20"/>
          <w:lang w:val="en-US" w:eastAsia="zh-CN" w:bidi="ar-SA"/>
        </w:rPr>
        <w:t>一、</w:t>
      </w:r>
      <w:r>
        <w:rPr>
          <w:rFonts w:hint="eastAsia" w:ascii="宋体" w:hAnsi="宋体" w:eastAsia="宋体" w:cs="宋体"/>
          <w:b/>
          <w:bCs/>
          <w:color w:val="000000"/>
          <w:kern w:val="0"/>
          <w:sz w:val="24"/>
          <w:szCs w:val="24"/>
          <w:lang w:val="en-US" w:eastAsia="zh-CN" w:bidi="ar-SA"/>
        </w:rPr>
        <w:t>货物需求一览表</w:t>
      </w:r>
      <w:bookmarkEnd w:id="0"/>
      <w:bookmarkEnd w:id="1"/>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216"/>
        <w:gridCol w:w="3582"/>
        <w:gridCol w:w="1375"/>
        <w:gridCol w:w="1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2" w:name="_Toc4579"/>
            <w:bookmarkStart w:id="3" w:name="_Toc8852"/>
            <w:r>
              <w:rPr>
                <w:rFonts w:hint="eastAsia" w:ascii="宋体" w:hAnsi="宋体" w:eastAsia="宋体" w:cs="宋体"/>
                <w:i w:val="0"/>
                <w:iCs w:val="0"/>
                <w:color w:val="000000"/>
                <w:kern w:val="0"/>
                <w:sz w:val="22"/>
                <w:szCs w:val="22"/>
                <w:u w:val="none"/>
                <w:lang w:val="en-US" w:eastAsia="zh-CN" w:bidi="ar"/>
              </w:rPr>
              <w:t>序号</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类别</w:t>
            </w:r>
          </w:p>
        </w:tc>
        <w:tc>
          <w:tcPr>
            <w:tcW w:w="2132"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设备参数</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4" w:type="pct"/>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台式计算机</w:t>
            </w:r>
          </w:p>
        </w:tc>
        <w:tc>
          <w:tcPr>
            <w:tcW w:w="213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产品定位：办公用电脑；</w:t>
            </w:r>
          </w:p>
        </w:tc>
        <w:tc>
          <w:tcPr>
            <w:tcW w:w="83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7台</w:t>
            </w:r>
          </w:p>
        </w:tc>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1、内存：8GB DDR4及以上；</w:t>
            </w:r>
          </w:p>
        </w:tc>
        <w:tc>
          <w:tcPr>
            <w:tcW w:w="83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2、硬盘：256GSSD固态硬盘+1T机械硬盘；</w:t>
            </w:r>
          </w:p>
        </w:tc>
        <w:tc>
          <w:tcPr>
            <w:tcW w:w="83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3、显卡：集成显卡；</w:t>
            </w:r>
          </w:p>
        </w:tc>
        <w:tc>
          <w:tcPr>
            <w:tcW w:w="83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4、显示器：与主机同品牌≥21.5寸宽屏LED液晶显示器；</w:t>
            </w:r>
          </w:p>
        </w:tc>
        <w:tc>
          <w:tcPr>
            <w:tcW w:w="83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5、系统：WIN10或以上版本操作系统；</w:t>
            </w:r>
          </w:p>
        </w:tc>
        <w:tc>
          <w:tcPr>
            <w:tcW w:w="83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4" w:type="pct"/>
            <w:vMerge w:val="restart"/>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高拍仪</w:t>
            </w:r>
          </w:p>
        </w:tc>
        <w:tc>
          <w:tcPr>
            <w:tcW w:w="213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1、拍摄最大幅面：A3；</w:t>
            </w:r>
          </w:p>
        </w:tc>
        <w:tc>
          <w:tcPr>
            <w:tcW w:w="837" w:type="pct"/>
            <w:vMerge w:val="restart"/>
            <w:tcBorders>
              <w:top w:val="single" w:color="000000" w:sz="4" w:space="0"/>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2、摄像头像素：500W或以上；</w:t>
            </w:r>
          </w:p>
        </w:tc>
        <w:tc>
          <w:tcPr>
            <w:tcW w:w="837" w:type="pct"/>
            <w:vMerge w:val="continue"/>
            <w:tcBorders>
              <w:top w:val="single" w:color="000000" w:sz="4" w:space="0"/>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3、接口类型：USB2.0；</w:t>
            </w:r>
          </w:p>
        </w:tc>
        <w:tc>
          <w:tcPr>
            <w:tcW w:w="837" w:type="pct"/>
            <w:vMerge w:val="continue"/>
            <w:tcBorders>
              <w:top w:val="single" w:color="000000" w:sz="4" w:space="0"/>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4、光源补偿：自然光+LED；</w:t>
            </w:r>
          </w:p>
        </w:tc>
        <w:tc>
          <w:tcPr>
            <w:tcW w:w="837" w:type="pct"/>
            <w:vMerge w:val="continue"/>
            <w:tcBorders>
              <w:top w:val="single" w:color="000000" w:sz="4" w:space="0"/>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5、附件：使用说明书、光盘、USB连接线、保修卡、合格证、文稿台；</w:t>
            </w:r>
          </w:p>
        </w:tc>
        <w:tc>
          <w:tcPr>
            <w:tcW w:w="837" w:type="pct"/>
            <w:vMerge w:val="continue"/>
            <w:tcBorders>
              <w:top w:val="single" w:color="000000" w:sz="4" w:space="0"/>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3"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4" w:type="pct"/>
            <w:vMerge w:val="continue"/>
            <w:tcBorders>
              <w:top w:val="single" w:color="000000" w:sz="4" w:space="0"/>
              <w:left w:val="single" w:color="000000" w:sz="4" w:space="0"/>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32"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6、电源类型：USB供电。</w:t>
            </w:r>
          </w:p>
        </w:tc>
        <w:tc>
          <w:tcPr>
            <w:tcW w:w="837" w:type="pct"/>
            <w:vMerge w:val="continue"/>
            <w:tcBorders>
              <w:top w:val="single" w:color="000000" w:sz="4" w:space="0"/>
              <w:left w:val="nil"/>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电话座机</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功能要求：具有来电显示、去电查询、自动回拨功能。</w:t>
            </w:r>
          </w:p>
        </w:tc>
        <w:tc>
          <w:tcPr>
            <w:tcW w:w="837"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9台</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彩色打印机</w:t>
            </w:r>
          </w:p>
        </w:tc>
        <w:tc>
          <w:tcPr>
            <w:tcW w:w="213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1、功能要求：品牌打印机，支持A3、A4彩色激光打印、扫描、复印多功能一体机；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2、连接类型：支持局域网、无线网络、U盘连接；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3、耗材类型：鼓粉一体，随机耗材；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4、要求售后维修，随叫随到。</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普通打印机</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1、功能要求：支持A4黑白、正反打印；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2、连接类型：USB连接。</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4台</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213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1、功能要求：A4黑白激光打印、扫描、复印多功能一体机；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2、打印速度：20页/分钟（A4）；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3、网络打印：无线网络；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4、CPU处理器：128MHZ；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5、最大分辨率：1200*1200dpi；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6、耗材类型：鼓粉一体，随机耗材：1500页；</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投影仪</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1、摆放方式：顶挂式；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2、显示技术：DLP；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3、显示亮度：3000流明以上；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4、分辨率：（1280x800）及以上；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5、其他要求：需配套提供电动幕布和笔记本电脑连接线。</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投影墙面宽高尺寸为3.1mx3.3m，投影仪需供应商现场安装调试好。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挂式空调</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1、功能要求：品牌空调，制冷量2匹。</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10台</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柜式空调</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1、功能要求：品牌空调，制冷量5匹或以上。</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办公桌</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1、主体规格：长约150cm，宽约70cm，高约75cm；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2、主要部件：抽屉四个（中间一个抽屉，另一侧三个抽屉），大空间柜子一个；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3、材质颜色：实木多层板，颜色为“苹果木”或“樱桃红”系列，环保达E1级以上标准。</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14张</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需提供环保等级认证资料。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1、材质颜色：与办公桌配套使用，实木多层板，坐位面及靠背面层为黑色皮质，环保达E1级以上标准。</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17把</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需提供环保等级认证资料。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会议室桌椅</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1、桌子要求：实木多层板，颜色为“苹果木”或“樱桃红”系列，环保达E1级以上标准；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2、椅子要求：与会议桌配套使用，实木多层板，坐位面及靠背面层为黑色皮质，环保达E1级以上标准；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3、其他要求：会议桌台面需预留穿线孔。</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1张会议桌；：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12把椅子</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会议桌尺寸需现场测量后确定。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需提供环保等级认证资料。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文件柜</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1、主体规格：长约200cm，高约180cm，宽约40cm；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2、材质颜色：柜体实木多层板，颜色为“苹果木”或“樱桃红”系列，环保达E1级以上标准，柜门为透明玻璃门；</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柜体规格选用为相近标准尺寸时，须经使用方确认。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需提供环保等级认证资料。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1、材质颜色：表面材质为浅色织物，环保达E1级以上标准；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2、尺寸要求：长度为1700cm或以上。</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需提供环保等级认证资料。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款式须经使用方确定。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茶水柜</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1、主体规格：长100cm，高70cm，宽40cm；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2、主要部件：抽屉两个，大空间柜子一个；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3、材质颜色：柜体实木多层板，颜色为“苹果木”或“樱桃红”系列，环保达E1级以上标准；</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需提供环保等级认证资料。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大厅等候长椅</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1、材质颜色：不锈钢制品，坐位面及靠背为皮质或针织物面层；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2、单个长椅长度约3米左右。</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可参考市级或经开区政务服务大厅长椅。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群众办事座椅</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1、材质颜色：不锈钢制品，坐位面及靠背为皮质或针织物面层；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2、功能要求：可旋转，可调节高度。</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可参考市级或经开区政务服务大厅办事座椅。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1、功能要求：会客用，与沙发搭配使用，环保达E1级以上标准。</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需提供环保等级认证资料。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电水壶</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1、功能材质要求：品牌电水壶，304及以上不锈钢安全等级，自动断电保护功能。</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保温水瓶</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1、功能要求：容量3.2L保温功能良好，木质瓶塞。</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插排</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1、功能要求：品牌插排，三孔和双孔口各3个以上。</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25个</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窗口电子屏</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1、功能要求：标准尺寸（约488mm*224mm），显示窗口号和窗口名称用。</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9块</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可参考市级或银行窗口电子屏，需现场确认。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353"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绿植</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1、功能要求：室内植物，易于成活。</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若干</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根据现场平面具体布置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353" w:type="pc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手机储物柜</w:t>
            </w:r>
          </w:p>
        </w:tc>
        <w:tc>
          <w:tcPr>
            <w:tcW w:w="2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1、实木多层板，环保达E1级以上标准；含储物柜80个。尺寸：约1600mm*300mm*2100mm(长宽高)</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1组</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53" w:type="pct"/>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654" w:type="pct"/>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最高限价</w:t>
            </w:r>
          </w:p>
        </w:tc>
        <w:tc>
          <w:tcPr>
            <w:tcW w:w="39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272200.00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注：1、以上1-7项电子办公用品需提供3年质保期；2、</w:t>
            </w:r>
            <w:r>
              <w:rPr>
                <w:rFonts w:hint="eastAsia" w:ascii="宋体" w:hAnsi="宋体" w:eastAsia="宋体" w:cs="宋体"/>
                <w:i w:val="0"/>
                <w:iCs w:val="0"/>
                <w:color w:val="000000"/>
                <w:kern w:val="0"/>
                <w:sz w:val="22"/>
                <w:szCs w:val="22"/>
                <w:highlight w:val="none"/>
                <w:u w:val="none"/>
                <w:lang w:val="en-US" w:eastAsia="zh-CN" w:bidi="ar"/>
              </w:rPr>
              <w:t>供应商报价须包含上门安装、调试、售后等服务的费用；3、木质、皮质等办公用品环保等级须达到E1级以上标准；4、以上要求供应商提供环保等级认证资料。供应商可在响应文件中提供环保等级认证资料或者提供承诺函（须承诺成交通知书发放后7个工作日内提交满足磋商文件要求的环保等级认证资料至采购人），两者均未提供按照无效标处理；5、若供应商在响应文件中提供承诺函，但成交后未按承诺提供证明材料或提供的证明材料不符合磋商文件要求，则视为虚假响应。</w:t>
            </w:r>
          </w:p>
        </w:tc>
      </w:tr>
    </w:tbl>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二、人员培训要求</w:t>
      </w:r>
      <w:bookmarkEnd w:id="2"/>
      <w:bookmarkEnd w:id="3"/>
    </w:p>
    <w:p>
      <w:pPr>
        <w:widowControl/>
        <w:spacing w:line="500" w:lineRule="exact"/>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货物安装、调试、验收合格后，成交人应对采购人的相关人员进行免费现场培训。培训内容包括基本操作、保养维修、常见故障及解决办法等。</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4"/>
          <w:lang w:val="en-US" w:eastAsia="zh-CN" w:bidi="ar-SA"/>
        </w:rPr>
      </w:pPr>
      <w:bookmarkStart w:id="4" w:name="_Toc8808"/>
      <w:bookmarkStart w:id="5" w:name="_Toc21193"/>
      <w:r>
        <w:rPr>
          <w:rFonts w:hint="eastAsia" w:ascii="宋体" w:hAnsi="宋体" w:eastAsia="宋体" w:cs="宋体"/>
          <w:b/>
          <w:color w:val="000000"/>
          <w:kern w:val="0"/>
          <w:sz w:val="24"/>
          <w:szCs w:val="24"/>
          <w:lang w:val="en-US" w:eastAsia="zh-CN" w:bidi="ar-SA"/>
        </w:rPr>
        <w:t>三、货物质量及售后服务要求</w:t>
      </w:r>
      <w:bookmarkEnd w:id="4"/>
      <w:bookmarkEnd w:id="5"/>
    </w:p>
    <w:p>
      <w:pPr>
        <w:widowControl/>
        <w:spacing w:line="500" w:lineRule="exact"/>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1、货物质量：成交人提供的货物必须是全新、原装、合格正品，完全符合国家规定的质量标准和厂方的标准。货物完好，配件齐全。</w:t>
      </w:r>
    </w:p>
    <w:p>
      <w:pPr>
        <w:widowControl/>
        <w:spacing w:line="500" w:lineRule="exact"/>
        <w:ind w:firstLine="420"/>
        <w:jc w:val="left"/>
        <w:rPr>
          <w:rFonts w:hint="eastAsia" w:ascii="宋体" w:hAnsi="宋体" w:eastAsia="宋体" w:cs="宋体"/>
          <w:color w:val="000000"/>
          <w:sz w:val="24"/>
          <w:szCs w:val="24"/>
        </w:rPr>
      </w:pPr>
      <w:r>
        <w:rPr>
          <w:rFonts w:hint="eastAsia" w:ascii="宋体" w:hAnsi="宋体" w:eastAsia="宋体" w:cs="宋体"/>
          <w:color w:val="000000"/>
          <w:sz w:val="24"/>
          <w:szCs w:val="24"/>
        </w:rPr>
        <w:t>2、保修及售后服务：依据商品的保修条款及售后服务条款，提供原厂质保，质保期按照国家规定，且不低于所供品牌向用户承诺的质保期限，竞争性谈判文件另有约定的从其约定。质保期从货物验收合格后算起。</w:t>
      </w:r>
    </w:p>
    <w:p>
      <w:pPr>
        <w:keepNext/>
        <w:keepLines/>
        <w:widowControl w:val="0"/>
        <w:wordWrap w:val="0"/>
        <w:autoSpaceDE w:val="0"/>
        <w:autoSpaceDN w:val="0"/>
        <w:adjustRightInd w:val="0"/>
        <w:spacing w:line="440" w:lineRule="exact"/>
        <w:ind w:firstLine="472" w:firstLineChars="196"/>
        <w:jc w:val="left"/>
        <w:outlineLvl w:val="2"/>
        <w:rPr>
          <w:rFonts w:ascii="宋体" w:hAnsi="宋体" w:eastAsia="宋体" w:cs="宋体"/>
          <w:b/>
          <w:color w:val="000000"/>
          <w:kern w:val="0"/>
          <w:sz w:val="24"/>
          <w:szCs w:val="24"/>
          <w:lang w:val="en-US" w:eastAsia="zh-CN" w:bidi="ar-SA"/>
        </w:rPr>
      </w:pPr>
      <w:bookmarkStart w:id="6" w:name="_Toc466"/>
      <w:bookmarkStart w:id="7" w:name="_Toc23093"/>
      <w:r>
        <w:rPr>
          <w:rFonts w:hint="eastAsia" w:ascii="宋体" w:hAnsi="宋体" w:eastAsia="宋体" w:cs="宋体"/>
          <w:b/>
          <w:color w:val="000000"/>
          <w:kern w:val="0"/>
          <w:sz w:val="24"/>
          <w:szCs w:val="24"/>
          <w:lang w:val="en-US" w:eastAsia="zh-CN" w:bidi="ar-SA"/>
        </w:rPr>
        <w:t>四、验收</w:t>
      </w:r>
      <w:bookmarkEnd w:id="6"/>
      <w:bookmarkEnd w:id="7"/>
    </w:p>
    <w:p>
      <w:pPr>
        <w:widowControl/>
        <w:spacing w:line="500" w:lineRule="exact"/>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成交人和采购人双方共同实施验收工作，结果和验收报告经双方确认后生效。</w:t>
      </w:r>
    </w:p>
    <w:p>
      <w:pPr>
        <w:spacing w:line="360" w:lineRule="auto"/>
        <w:ind w:firstLine="420" w:firstLineChars="200"/>
        <w:rPr>
          <w:rFonts w:ascii="宋体" w:hAnsi="宋体" w:eastAsia="宋体" w:cs="宋体"/>
          <w:color w:val="000000"/>
          <w:szCs w:val="21"/>
        </w:rPr>
      </w:pP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5FCE06DF"/>
    <w:rsid w:val="5FCE0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2023-06-14T00:55:00Z</dcterms:created>
  <dc:creator>随便</dc:creator>
  <cp:lastModifiedBy>随便</cp:lastModifiedBy>
  <dcterms:modified xsi:type="dcterms:W3CDTF">2023-06-14T00:55:32Z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CDF0839F38EA44DA8012C4D42BF3B10B_11</vt:lpwstr>
  </property>
</Properties>
</file>