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hint="eastAsia" w:ascii="宋体" w:hAnsi="宋体"/>
          <w:szCs w:val="21"/>
          <w:lang w:val="en-US" w:eastAsia="zh-CN"/>
        </w:rPr>
        <w:t xml:space="preserve"> </w:t>
      </w:r>
      <w:r>
        <w:rPr>
          <w:rFonts w:ascii="宋体" w:hAnsi="宋体"/>
          <w:szCs w:val="21"/>
        </w:rPr>
        <w:t xml:space="preserve"> </w:t>
      </w:r>
      <w:r>
        <w:rPr>
          <w:rFonts w:ascii="宋体" w:hAnsi="宋体"/>
          <w:sz w:val="44"/>
          <w:szCs w:val="44"/>
        </w:rPr>
        <w:t xml:space="preserve">      </w:t>
      </w:r>
    </w:p>
    <w:p>
      <w:pPr>
        <w:spacing w:line="360" w:lineRule="auto"/>
        <w:jc w:val="center"/>
        <w:rPr>
          <w:rFonts w:hint="eastAsia" w:ascii="宋体" w:hAnsi="宋体" w:eastAsia="宋体" w:cs="宋体"/>
          <w:b/>
          <w:sz w:val="48"/>
          <w:szCs w:val="48"/>
          <w:lang w:eastAsia="zh-CN"/>
        </w:rPr>
      </w:pPr>
      <w:r>
        <w:rPr>
          <w:rFonts w:hint="eastAsia" w:ascii="宋体" w:hAnsi="宋体" w:cs="宋体"/>
          <w:b/>
          <w:sz w:val="44"/>
          <w:szCs w:val="44"/>
          <w:lang w:eastAsia="zh-CN"/>
        </w:rPr>
        <w:t>安庆皖江高科创业服务有限公司环保车辆采购项目</w:t>
      </w:r>
    </w:p>
    <w:p>
      <w:pPr>
        <w:pStyle w:val="6"/>
        <w:ind w:firstLine="400"/>
        <w:rPr>
          <w:rFonts w:ascii="宋体"/>
          <w:szCs w:val="21"/>
        </w:rPr>
      </w:pPr>
    </w:p>
    <w:p>
      <w:pPr>
        <w:pStyle w:val="6"/>
        <w:ind w:firstLine="400"/>
        <w:rPr>
          <w:rFonts w:ascii="宋体"/>
          <w:szCs w:val="21"/>
        </w:rPr>
      </w:pPr>
    </w:p>
    <w:p>
      <w:pPr>
        <w:pStyle w:val="6"/>
        <w:ind w:firstLine="400"/>
        <w:rPr>
          <w:rFonts w:ascii="宋体"/>
          <w:szCs w:val="21"/>
        </w:rPr>
      </w:pPr>
    </w:p>
    <w:p>
      <w:pPr>
        <w:pStyle w:val="6"/>
        <w:ind w:firstLine="400"/>
        <w:rPr>
          <w:rFonts w:ascii="宋体"/>
          <w:szCs w:val="21"/>
        </w:rPr>
      </w:pPr>
    </w:p>
    <w:p>
      <w:pPr>
        <w:pStyle w:val="6"/>
        <w:ind w:firstLine="400"/>
        <w:rPr>
          <w:rFonts w:ascii="宋体"/>
          <w:szCs w:val="21"/>
        </w:rPr>
      </w:pPr>
    </w:p>
    <w:p>
      <w:pPr>
        <w:spacing w:line="760" w:lineRule="exact"/>
        <w:jc w:val="center"/>
        <w:rPr>
          <w:rFonts w:ascii="宋体" w:cs="宋体"/>
          <w:b/>
          <w:bCs/>
          <w:sz w:val="48"/>
          <w:szCs w:val="48"/>
        </w:rPr>
      </w:pPr>
      <w:r>
        <w:rPr>
          <w:rFonts w:hint="eastAsia" w:ascii="宋体" w:hAnsi="宋体" w:cs="宋体"/>
          <w:b/>
          <w:bCs/>
          <w:sz w:val="72"/>
          <w:szCs w:val="72"/>
        </w:rPr>
        <w:t>磋</w:t>
      </w:r>
      <w:r>
        <w:rPr>
          <w:rFonts w:ascii="宋体" w:hAnsi="宋体" w:cs="宋体"/>
          <w:b/>
          <w:bCs/>
          <w:sz w:val="72"/>
          <w:szCs w:val="72"/>
        </w:rPr>
        <w:t xml:space="preserve">  </w:t>
      </w:r>
      <w:r>
        <w:rPr>
          <w:rFonts w:hint="eastAsia" w:ascii="宋体" w:hAnsi="宋体" w:cs="宋体"/>
          <w:b/>
          <w:bCs/>
          <w:sz w:val="72"/>
          <w:szCs w:val="72"/>
        </w:rPr>
        <w:t>商</w:t>
      </w:r>
      <w:r>
        <w:rPr>
          <w:rFonts w:ascii="宋体" w:hAnsi="宋体" w:cs="宋体"/>
          <w:b/>
          <w:bCs/>
          <w:sz w:val="72"/>
          <w:szCs w:val="72"/>
        </w:rPr>
        <w:t xml:space="preserve">  </w:t>
      </w:r>
      <w:r>
        <w:rPr>
          <w:rFonts w:hint="eastAsia" w:ascii="宋体" w:hAnsi="宋体" w:cs="宋体"/>
          <w:b/>
          <w:bCs/>
          <w:sz w:val="72"/>
          <w:szCs w:val="72"/>
        </w:rPr>
        <w:t>文</w:t>
      </w:r>
      <w:r>
        <w:rPr>
          <w:rFonts w:ascii="宋体" w:hAnsi="宋体" w:cs="宋体"/>
          <w:b/>
          <w:bCs/>
          <w:sz w:val="72"/>
          <w:szCs w:val="72"/>
        </w:rPr>
        <w:t xml:space="preserve">  </w:t>
      </w:r>
      <w:r>
        <w:rPr>
          <w:rFonts w:hint="eastAsia" w:ascii="宋体" w:hAnsi="宋体" w:cs="宋体"/>
          <w:b/>
          <w:bCs/>
          <w:sz w:val="72"/>
          <w:szCs w:val="72"/>
        </w:rPr>
        <w:t>件</w:t>
      </w:r>
    </w:p>
    <w:p>
      <w:pPr>
        <w:spacing w:line="480" w:lineRule="exact"/>
        <w:jc w:val="center"/>
        <w:rPr>
          <w:rFonts w:ascii="宋体" w:cs="宋体"/>
          <w:b/>
          <w:bCs/>
          <w:sz w:val="48"/>
          <w:szCs w:val="48"/>
        </w:rPr>
      </w:pPr>
    </w:p>
    <w:p>
      <w:pPr>
        <w:spacing w:line="480" w:lineRule="exact"/>
        <w:jc w:val="center"/>
        <w:rPr>
          <w:rFonts w:hint="default" w:ascii="宋体" w:hAnsi="宋体" w:eastAsia="宋体" w:cs="宋体"/>
          <w:b/>
          <w:bCs/>
          <w:sz w:val="28"/>
          <w:szCs w:val="28"/>
          <w:u w:val="single"/>
          <w:lang w:val="en-US" w:eastAsia="zh-CN"/>
        </w:rPr>
      </w:pPr>
      <w:r>
        <w:rPr>
          <w:rFonts w:hint="eastAsia" w:ascii="宋体" w:hAnsi="宋体" w:cs="宋体"/>
          <w:b/>
          <w:bCs/>
          <w:sz w:val="28"/>
          <w:szCs w:val="28"/>
        </w:rPr>
        <w:t>项目编号</w:t>
      </w:r>
      <w:r>
        <w:rPr>
          <w:rFonts w:hint="eastAsia" w:ascii="宋体" w:hAnsi="宋体" w:cs="宋体"/>
          <w:b/>
          <w:bCs/>
          <w:sz w:val="28"/>
          <w:szCs w:val="28"/>
          <w:lang w:eastAsia="zh-CN"/>
        </w:rPr>
        <w:t>：</w:t>
      </w:r>
      <w:r>
        <w:rPr>
          <w:rFonts w:hint="eastAsia" w:ascii="宋体" w:hAnsi="宋体" w:cs="宋体"/>
          <w:b/>
          <w:bCs/>
          <w:sz w:val="28"/>
          <w:szCs w:val="28"/>
          <w:lang w:val="en-US" w:eastAsia="zh-CN"/>
        </w:rPr>
        <w:t>CG-AQ-W2023-073</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pStyle w:val="6"/>
        <w:ind w:firstLine="400"/>
        <w:rPr>
          <w:rFonts w:ascii="宋体" w:hAnsi="宋体" w:cs="仿宋_GB2312"/>
          <w:szCs w:val="21"/>
        </w:rPr>
      </w:pPr>
    </w:p>
    <w:p>
      <w:pPr>
        <w:pStyle w:val="6"/>
        <w:ind w:firstLine="400"/>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rPr>
        <w:t xml:space="preserve">  </w:t>
      </w:r>
      <w:r>
        <w:rPr>
          <w:rFonts w:hint="eastAsia" w:ascii="宋体" w:hAnsi="宋体" w:cs="仿宋_GB2312"/>
          <w:b/>
          <w:sz w:val="30"/>
          <w:szCs w:val="30"/>
          <w:u w:val="single"/>
          <w:lang w:eastAsia="zh-CN"/>
        </w:rPr>
        <w:t>安庆皖江高科创业服务有限公司</w:t>
      </w:r>
      <w:r>
        <w:rPr>
          <w:rFonts w:ascii="宋体" w:hAnsi="宋体" w:cs="仿宋_GB2312"/>
          <w:b/>
          <w:spacing w:val="20"/>
          <w:sz w:val="30"/>
          <w:szCs w:val="30"/>
          <w:u w:val="single"/>
        </w:rPr>
        <w:t xml:space="preserve"> </w:t>
      </w:r>
      <w:r>
        <w:rPr>
          <w:rFonts w:hint="eastAsia" w:ascii="宋体" w:hAnsi="宋体" w:cs="仿宋_GB2312"/>
          <w:b/>
          <w:spacing w:val="20"/>
          <w:sz w:val="30"/>
          <w:szCs w:val="30"/>
          <w:u w:val="single"/>
        </w:rPr>
        <w:t xml:space="preserve">    </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rPr>
        <w:t>招标代理机构：</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 xml:space="preserve"> </w:t>
      </w:r>
      <w:r>
        <w:rPr>
          <w:rFonts w:hint="eastAsia" w:ascii="宋体" w:hAnsi="宋体" w:cs="宋体"/>
          <w:b/>
          <w:sz w:val="30"/>
          <w:szCs w:val="30"/>
          <w:u w:val="single"/>
        </w:rPr>
        <w:t>安庆皖宜高科工程咨询有限公司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b/>
          <w:bCs/>
          <w:sz w:val="32"/>
          <w:szCs w:val="32"/>
        </w:rPr>
        <w:t xml:space="preserve">日  期：二〇二三 年 </w:t>
      </w:r>
      <w:r>
        <w:rPr>
          <w:rFonts w:hint="eastAsia" w:ascii="宋体" w:hAnsi="宋体" w:cs="仿宋_GB2312"/>
          <w:b/>
          <w:bCs/>
          <w:sz w:val="32"/>
          <w:szCs w:val="32"/>
          <w:lang w:val="en-US" w:eastAsia="zh-CN"/>
        </w:rPr>
        <w:t>五</w:t>
      </w:r>
      <w:r>
        <w:rPr>
          <w:rFonts w:hint="eastAsia" w:ascii="宋体" w:hAnsi="宋体" w:cs="仿宋_GB2312"/>
          <w:b/>
          <w:bCs/>
          <w:sz w:val="32"/>
          <w:szCs w:val="32"/>
        </w:rPr>
        <w:t xml:space="preserve"> 月</w:t>
      </w:r>
    </w:p>
    <w:p>
      <w:pPr>
        <w:spacing w:line="480" w:lineRule="exact"/>
        <w:rPr>
          <w:rFonts w:ascii="宋体" w:hAnsi="宋体" w:cs="仿宋_GB2312"/>
          <w:sz w:val="32"/>
          <w:szCs w:val="32"/>
        </w:rPr>
      </w:pPr>
    </w:p>
    <w:p>
      <w:pPr>
        <w:pStyle w:val="2"/>
      </w:pPr>
    </w:p>
    <w:p>
      <w:pPr>
        <w:spacing w:line="480" w:lineRule="exact"/>
        <w:jc w:val="center"/>
        <w:rPr>
          <w:rFonts w:ascii="宋体" w:hAnsi="宋体" w:cs="仿宋_GB2312"/>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360" w:lineRule="auto"/>
        <w:jc w:val="left"/>
        <w:rPr>
          <w:rFonts w:ascii="仿宋" w:hAnsi="仿宋" w:eastAsia="仿宋" w:cs="仿宋"/>
          <w:bCs/>
          <w:kern w:val="0"/>
          <w:sz w:val="32"/>
          <w:szCs w:val="32"/>
        </w:rPr>
      </w:pPr>
      <w:r>
        <w:rPr>
          <w:rFonts w:hint="eastAsia" w:ascii="仿宋" w:hAnsi="仿宋" w:eastAsia="仿宋" w:cs="仿宋"/>
          <w:bCs/>
          <w:kern w:val="0"/>
          <w:sz w:val="32"/>
          <w:szCs w:val="32"/>
        </w:rPr>
        <w:t>各供应商：</w:t>
      </w:r>
    </w:p>
    <w:p>
      <w:pPr>
        <w:spacing w:line="360" w:lineRule="auto"/>
        <w:ind w:firstLine="640" w:firstLineChars="200"/>
        <w:rPr>
          <w:rFonts w:ascii="仿宋" w:hAnsi="仿宋" w:eastAsia="仿宋" w:cs="仿宋"/>
          <w:b/>
          <w:kern w:val="0"/>
          <w:sz w:val="32"/>
          <w:szCs w:val="32"/>
        </w:rPr>
      </w:pPr>
      <w:r>
        <w:rPr>
          <w:rFonts w:hint="eastAsia" w:ascii="仿宋" w:hAnsi="仿宋" w:eastAsia="仿宋" w:cs="仿宋"/>
          <w:bCs/>
          <w:kern w:val="0"/>
          <w:sz w:val="32"/>
          <w:szCs w:val="32"/>
        </w:rPr>
        <w:t>本项目将于开标前半小时在</w:t>
      </w:r>
      <w:r>
        <w:rPr>
          <w:rFonts w:hint="eastAsia" w:ascii="仿宋" w:hAnsi="仿宋" w:eastAsia="仿宋" w:cs="仿宋"/>
          <w:bCs/>
          <w:kern w:val="0"/>
          <w:sz w:val="32"/>
          <w:szCs w:val="32"/>
          <w:lang w:val="en-US" w:eastAsia="zh-CN"/>
        </w:rPr>
        <w:t>安庆市皖宜项目咨询管理有限公司（</w:t>
      </w:r>
      <w:r>
        <w:rPr>
          <w:rFonts w:hint="eastAsia" w:ascii="仿宋" w:hAnsi="仿宋" w:eastAsia="仿宋" w:cs="仿宋"/>
          <w:b/>
          <w:kern w:val="0"/>
          <w:sz w:val="32"/>
          <w:szCs w:val="32"/>
        </w:rPr>
        <w:t>龙山路21</w:t>
      </w:r>
      <w:r>
        <w:rPr>
          <w:rFonts w:hint="eastAsia" w:ascii="仿宋" w:hAnsi="仿宋" w:eastAsia="仿宋" w:cs="仿宋"/>
          <w:b/>
          <w:kern w:val="0"/>
          <w:sz w:val="32"/>
          <w:szCs w:val="32"/>
          <w:lang w:val="en-US" w:eastAsia="zh-CN"/>
        </w:rPr>
        <w:t>3</w:t>
      </w:r>
      <w:r>
        <w:rPr>
          <w:rFonts w:hint="eastAsia" w:ascii="仿宋" w:hAnsi="仿宋" w:eastAsia="仿宋" w:cs="仿宋"/>
          <w:b/>
          <w:kern w:val="0"/>
          <w:sz w:val="32"/>
          <w:szCs w:val="32"/>
        </w:rPr>
        <w:t>号</w:t>
      </w:r>
      <w:r>
        <w:rPr>
          <w:rFonts w:hint="eastAsia" w:ascii="仿宋" w:hAnsi="仿宋" w:eastAsia="仿宋" w:cs="仿宋"/>
          <w:bCs/>
          <w:kern w:val="0"/>
          <w:sz w:val="32"/>
          <w:szCs w:val="32"/>
          <w:lang w:val="en-US" w:eastAsia="zh-CN"/>
        </w:rPr>
        <w:t>）</w:t>
      </w:r>
      <w:r>
        <w:rPr>
          <w:rFonts w:hint="eastAsia" w:ascii="仿宋" w:hAnsi="仿宋" w:eastAsia="仿宋" w:cs="仿宋"/>
          <w:b/>
          <w:kern w:val="0"/>
          <w:sz w:val="32"/>
          <w:szCs w:val="32"/>
        </w:rPr>
        <w:t>五</w:t>
      </w:r>
      <w:r>
        <w:rPr>
          <w:rFonts w:hint="eastAsia" w:ascii="仿宋" w:hAnsi="仿宋" w:eastAsia="仿宋" w:cs="仿宋"/>
          <w:b/>
          <w:kern w:val="0"/>
          <w:sz w:val="32"/>
          <w:szCs w:val="32"/>
          <w:lang w:val="en-US" w:eastAsia="zh-CN"/>
        </w:rPr>
        <w:t>楼</w:t>
      </w:r>
      <w:r>
        <w:rPr>
          <w:rFonts w:hint="eastAsia" w:ascii="仿宋" w:hAnsi="仿宋" w:eastAsia="仿宋" w:cs="仿宋"/>
          <w:b/>
          <w:kern w:val="0"/>
          <w:sz w:val="32"/>
          <w:szCs w:val="32"/>
        </w:rPr>
        <w:t>交易二部</w:t>
      </w:r>
      <w:r>
        <w:rPr>
          <w:rFonts w:hint="eastAsia" w:ascii="仿宋" w:hAnsi="仿宋" w:eastAsia="仿宋" w:cs="仿宋"/>
          <w:bCs/>
          <w:kern w:val="0"/>
          <w:sz w:val="32"/>
          <w:szCs w:val="32"/>
        </w:rPr>
        <w:t>接收响应文件，请供应商在递交响应文件前出示授权书、身份证明。响应文件递交成功后可暂时离开现场，如有询标或磋商事宜将电话通知。</w:t>
      </w:r>
      <w:r>
        <w:rPr>
          <w:rFonts w:hint="eastAsia" w:ascii="仿宋" w:hAnsi="仿宋" w:eastAsia="仿宋" w:cs="仿宋"/>
          <w:b/>
          <w:kern w:val="0"/>
          <w:sz w:val="32"/>
          <w:szCs w:val="32"/>
        </w:rPr>
        <w:t>（最后报价表由各响应人磋商后现场递交）</w:t>
      </w:r>
    </w:p>
    <w:p>
      <w:pPr>
        <w:spacing w:line="480" w:lineRule="exact"/>
        <w:jc w:val="center"/>
        <w:rPr>
          <w:rFonts w:ascii="宋体" w:hAnsi="宋体" w:cs="仿宋_GB2312"/>
          <w:sz w:val="32"/>
          <w:szCs w:val="32"/>
        </w:rPr>
      </w:pPr>
    </w:p>
    <w:p>
      <w:pPr>
        <w:pStyle w:val="391"/>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二、请各磋商响应人认真阅读磋商文件，对下述事项予以重视：</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1、请依据项目资格要求，自行核对营业执照合法有效。</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b/>
          <w:sz w:val="28"/>
          <w:szCs w:val="28"/>
        </w:rPr>
      </w:pPr>
      <w:r>
        <w:rPr>
          <w:rFonts w:hint="eastAsia" w:ascii="宋体" w:hAnsi="宋体" w:cs="宋体"/>
          <w:b/>
          <w:kern w:val="0"/>
          <w:sz w:val="24"/>
        </w:rPr>
        <w:t>2、对投标活动中可能发生的质疑、投诉行为，须依法在规定的时间内提出。</w:t>
      </w:r>
      <w:r>
        <w:rPr>
          <w:rFonts w:ascii="宋体" w:hAnsi="宋体" w:cs="宋体"/>
          <w:b/>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lang w:val="en-US" w:eastAsia="zh-CN"/>
        </w:rPr>
        <w:t>3</w:t>
      </w:r>
      <w:r>
        <w:rPr>
          <w:rFonts w:hint="eastAsia" w:ascii="宋体" w:hAnsi="宋体" w:cs="宋体"/>
          <w:b/>
          <w:kern w:val="0"/>
          <w:sz w:val="24"/>
        </w:rPr>
        <w:t>、本项目开评标期间，磋商响应人必须保证联系电话、电子邮箱通畅，因磋商响应人通讯不畅造成的不利后果由磋商响应人自行承担。</w:t>
      </w:r>
    </w:p>
    <w:p>
      <w:pPr>
        <w:widowControl/>
        <w:jc w:val="left"/>
        <w:rPr>
          <w:rFonts w:ascii="宋体" w:hAnsi="宋体" w:cs="宋体"/>
          <w:b/>
          <w:kern w:val="0"/>
          <w:sz w:val="24"/>
        </w:rPr>
      </w:pPr>
      <w:r>
        <w:rPr>
          <w:rFonts w:ascii="宋体" w:hAnsi="宋体" w:cs="宋体"/>
          <w:b/>
          <w:kern w:val="0"/>
          <w:sz w:val="24"/>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1"/>
        <w:tabs>
          <w:tab w:val="right" w:leader="dot" w:pos="9070"/>
        </w:tabs>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fldChar w:fldCharType="begin"/>
      </w:r>
      <w:r>
        <w:instrText xml:space="preserve"> HYPERLINK \l "_Toc30804" </w:instrText>
      </w:r>
      <w:r>
        <w:fldChar w:fldCharType="separate"/>
      </w:r>
      <w:r>
        <w:rPr>
          <w:rFonts w:hint="eastAsia" w:ascii="宋体" w:hAnsi="宋体" w:cs="宋体"/>
          <w:sz w:val="21"/>
          <w:szCs w:val="21"/>
        </w:rPr>
        <w:t>第一章   竞争性磋商公告</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_Toc30804 \h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"_Toc20185" </w:instrText>
      </w:r>
      <w:r>
        <w:fldChar w:fldCharType="separate"/>
      </w:r>
      <w:r>
        <w:rPr>
          <w:rFonts w:hint="eastAsia" w:ascii="宋体" w:hAnsi="宋体" w:cs="宋体"/>
          <w:sz w:val="21"/>
          <w:szCs w:val="21"/>
        </w:rPr>
        <w:t>第二章   磋商须知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_Toc20185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"_Toc7863" </w:instrText>
      </w:r>
      <w:r>
        <w:fldChar w:fldCharType="separate"/>
      </w:r>
      <w:r>
        <w:rPr>
          <w:rFonts w:hint="eastAsia" w:ascii="宋体" w:hAnsi="宋体" w:cs="宋体"/>
          <w:bCs/>
          <w:kern w:val="0"/>
          <w:sz w:val="21"/>
          <w:szCs w:val="21"/>
        </w:rPr>
        <w:t>第一节 磋商须知前附表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_Toc7863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"_Toc20486" </w:instrText>
      </w:r>
      <w:r>
        <w:fldChar w:fldCharType="separate"/>
      </w:r>
      <w:r>
        <w:rPr>
          <w:rFonts w:hint="eastAsia" w:ascii="宋体" w:hAnsi="宋体" w:cs="宋体"/>
          <w:bCs/>
          <w:kern w:val="0"/>
          <w:sz w:val="21"/>
          <w:szCs w:val="21"/>
          <w:lang w:val="zh-CN"/>
        </w:rPr>
        <w:t>第二节 竞争性磋商须知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_Toc20486 \h </w:instrText>
      </w:r>
      <w:r>
        <w:rPr>
          <w:rFonts w:hint="eastAsia" w:ascii="宋体" w:hAnsi="宋体" w:cs="宋体"/>
          <w:sz w:val="21"/>
          <w:szCs w:val="21"/>
        </w:rPr>
        <w:fldChar w:fldCharType="separate"/>
      </w:r>
      <w:r>
        <w:rPr>
          <w:rFonts w:hint="eastAsia"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"_Toc18383" </w:instrText>
      </w:r>
      <w:r>
        <w:fldChar w:fldCharType="separate"/>
      </w:r>
      <w:r>
        <w:rPr>
          <w:rFonts w:hint="eastAsia" w:ascii="宋体" w:hAnsi="宋体" w:cs="宋体"/>
          <w:bCs/>
          <w:sz w:val="21"/>
          <w:szCs w:val="21"/>
          <w:lang w:val="zh-CN"/>
        </w:rPr>
        <w:t>一、总    则</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_Toc18383 \h </w:instrText>
      </w:r>
      <w:r>
        <w:rPr>
          <w:rFonts w:hint="eastAsia" w:ascii="宋体" w:hAnsi="宋体" w:cs="宋体"/>
          <w:sz w:val="21"/>
          <w:szCs w:val="21"/>
        </w:rPr>
        <w:fldChar w:fldCharType="separate"/>
      </w:r>
      <w:r>
        <w:rPr>
          <w:rFonts w:hint="eastAsia"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"_Toc12803" </w:instrText>
      </w:r>
      <w:r>
        <w:fldChar w:fldCharType="separate"/>
      </w:r>
      <w:r>
        <w:rPr>
          <w:rFonts w:hint="eastAsia" w:ascii="宋体" w:hAnsi="宋体" w:cs="宋体"/>
          <w:bCs/>
          <w:sz w:val="21"/>
          <w:szCs w:val="21"/>
          <w:lang w:val="zh-CN"/>
        </w:rPr>
        <w:t>二、磋商文件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_Toc12803 \h </w:instrText>
      </w:r>
      <w:r>
        <w:rPr>
          <w:rFonts w:hint="eastAsia" w:ascii="宋体" w:hAnsi="宋体" w:cs="宋体"/>
          <w:sz w:val="21"/>
          <w:szCs w:val="21"/>
        </w:rPr>
        <w:fldChar w:fldCharType="separate"/>
      </w:r>
      <w:r>
        <w:rPr>
          <w:rFonts w:hint="eastAsia" w:ascii="宋体" w:hAnsi="宋体" w:cs="宋体"/>
          <w:sz w:val="21"/>
          <w:szCs w:val="21"/>
        </w:rPr>
        <w:t>10</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"_Toc24744" </w:instrText>
      </w:r>
      <w:r>
        <w:fldChar w:fldCharType="separate"/>
      </w:r>
      <w:r>
        <w:rPr>
          <w:rFonts w:hint="eastAsia" w:ascii="宋体" w:hAnsi="宋体" w:cs="宋体"/>
          <w:sz w:val="21"/>
          <w:szCs w:val="21"/>
        </w:rPr>
        <w:t>三、 响应文件编制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_Toc24744 \h </w:instrText>
      </w:r>
      <w:r>
        <w:rPr>
          <w:rFonts w:hint="eastAsia" w:ascii="宋体" w:hAnsi="宋体" w:cs="宋体"/>
          <w:sz w:val="21"/>
          <w:szCs w:val="21"/>
        </w:rPr>
        <w:fldChar w:fldCharType="separate"/>
      </w:r>
      <w:r>
        <w:rPr>
          <w:rFonts w:hint="eastAsia" w:ascii="宋体" w:hAnsi="宋体" w:cs="宋体"/>
          <w:sz w:val="21"/>
          <w:szCs w:val="21"/>
        </w:rPr>
        <w:t>12</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"_Toc10023" </w:instrText>
      </w:r>
      <w:r>
        <w:fldChar w:fldCharType="separate"/>
      </w:r>
      <w:r>
        <w:rPr>
          <w:rFonts w:hint="eastAsia" w:ascii="宋体" w:hAnsi="宋体" w:cs="宋体"/>
          <w:sz w:val="21"/>
          <w:szCs w:val="21"/>
        </w:rPr>
        <w:t>四、响应文件的提交</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_Toc10023 \h </w:instrText>
      </w:r>
      <w:r>
        <w:rPr>
          <w:rFonts w:hint="eastAsia" w:ascii="宋体" w:hAnsi="宋体" w:cs="宋体"/>
          <w:sz w:val="21"/>
          <w:szCs w:val="21"/>
        </w:rPr>
        <w:fldChar w:fldCharType="separate"/>
      </w:r>
      <w:r>
        <w:rPr>
          <w:rFonts w:hint="eastAsia" w:ascii="宋体" w:hAnsi="宋体" w:cs="宋体"/>
          <w:sz w:val="21"/>
          <w:szCs w:val="21"/>
        </w:rPr>
        <w:t>14</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"_Toc19923" </w:instrText>
      </w:r>
      <w:r>
        <w:fldChar w:fldCharType="separate"/>
      </w:r>
      <w:r>
        <w:rPr>
          <w:rFonts w:hint="eastAsia" w:ascii="宋体" w:hAnsi="宋体" w:cs="宋体"/>
          <w:sz w:val="21"/>
          <w:szCs w:val="21"/>
        </w:rPr>
        <w:t>五、磋商</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_Toc19923 \h </w:instrText>
      </w:r>
      <w:r>
        <w:rPr>
          <w:rFonts w:hint="eastAsia" w:ascii="宋体" w:hAnsi="宋体" w:cs="宋体"/>
          <w:sz w:val="21"/>
          <w:szCs w:val="21"/>
        </w:rPr>
        <w:fldChar w:fldCharType="separate"/>
      </w:r>
      <w:r>
        <w:rPr>
          <w:rFonts w:hint="eastAsia" w:ascii="宋体" w:hAnsi="宋体" w:cs="宋体"/>
          <w:sz w:val="21"/>
          <w:szCs w:val="21"/>
        </w:rPr>
        <w:t>15</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"_Toc22280" </w:instrText>
      </w:r>
      <w:r>
        <w:fldChar w:fldCharType="separate"/>
      </w:r>
      <w:r>
        <w:rPr>
          <w:rFonts w:hint="eastAsia" w:ascii="宋体" w:hAnsi="宋体" w:cs="宋体"/>
          <w:sz w:val="21"/>
          <w:szCs w:val="21"/>
        </w:rPr>
        <w:t>六、评标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_Toc22280 \h </w:instrText>
      </w:r>
      <w:r>
        <w:rPr>
          <w:rFonts w:hint="eastAsia" w:ascii="宋体" w:hAnsi="宋体" w:cs="宋体"/>
          <w:sz w:val="21"/>
          <w:szCs w:val="21"/>
        </w:rPr>
        <w:fldChar w:fldCharType="separate"/>
      </w:r>
      <w:r>
        <w:rPr>
          <w:rFonts w:hint="eastAsia" w:ascii="宋体" w:hAnsi="宋体" w:cs="宋体"/>
          <w:sz w:val="21"/>
          <w:szCs w:val="21"/>
        </w:rPr>
        <w:t>16</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"_Toc16555" </w:instrText>
      </w:r>
      <w:r>
        <w:fldChar w:fldCharType="separate"/>
      </w:r>
      <w:r>
        <w:rPr>
          <w:rFonts w:hint="eastAsia" w:ascii="宋体" w:hAnsi="宋体" w:cs="宋体"/>
          <w:sz w:val="21"/>
          <w:szCs w:val="21"/>
        </w:rPr>
        <w:t xml:space="preserve">第三章  </w:t>
      </w:r>
      <w:r>
        <w:rPr>
          <w:rFonts w:hint="eastAsia" w:ascii="宋体" w:hAnsi="宋体" w:cs="宋体"/>
          <w:sz w:val="21"/>
          <w:szCs w:val="21"/>
          <w:lang w:val="zh-CN"/>
        </w:rPr>
        <w:t xml:space="preserve">  </w:t>
      </w:r>
      <w:r>
        <w:rPr>
          <w:rFonts w:hint="eastAsia" w:ascii="宋体" w:hAnsi="宋体" w:cs="宋体"/>
          <w:sz w:val="21"/>
          <w:szCs w:val="21"/>
          <w:lang w:val="en-US" w:eastAsia="zh-CN"/>
        </w:rPr>
        <w:t>货物</w:t>
      </w:r>
      <w:r>
        <w:rPr>
          <w:rFonts w:hint="eastAsia" w:ascii="宋体" w:hAnsi="宋体" w:cs="宋体"/>
          <w:sz w:val="21"/>
          <w:szCs w:val="21"/>
          <w:lang w:val="zh-CN"/>
        </w:rPr>
        <w:t>需求及</w:t>
      </w:r>
      <w:r>
        <w:rPr>
          <w:rFonts w:hint="eastAsia" w:ascii="宋体" w:hAnsi="宋体" w:cs="宋体"/>
          <w:sz w:val="21"/>
          <w:szCs w:val="21"/>
          <w:lang w:val="en-US" w:eastAsia="zh-CN"/>
        </w:rPr>
        <w:t>参数</w:t>
      </w:r>
      <w:r>
        <w:rPr>
          <w:rFonts w:hint="eastAsia" w:ascii="宋体" w:hAnsi="宋体" w:cs="宋体"/>
          <w:sz w:val="21"/>
          <w:szCs w:val="21"/>
          <w:lang w:val="zh-CN"/>
        </w:rPr>
        <w:t>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_Toc16555 \h </w:instrText>
      </w:r>
      <w:r>
        <w:rPr>
          <w:rFonts w:hint="eastAsia" w:ascii="宋体" w:hAnsi="宋体" w:cs="宋体"/>
          <w:sz w:val="21"/>
          <w:szCs w:val="21"/>
        </w:rPr>
        <w:fldChar w:fldCharType="separate"/>
      </w:r>
      <w:r>
        <w:rPr>
          <w:rFonts w:hint="eastAsia" w:ascii="宋体" w:hAnsi="宋体" w:cs="宋体"/>
          <w:sz w:val="21"/>
          <w:szCs w:val="21"/>
        </w:rPr>
        <w:t>24</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"_Toc15663" </w:instrText>
      </w:r>
      <w:r>
        <w:fldChar w:fldCharType="separate"/>
      </w:r>
      <w:r>
        <w:rPr>
          <w:rFonts w:hint="eastAsia" w:ascii="宋体" w:hAnsi="宋体" w:cs="宋体"/>
          <w:sz w:val="21"/>
          <w:szCs w:val="21"/>
        </w:rPr>
        <w:t>第四章     合同主要条款</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_Toc15663 \h </w:instrText>
      </w:r>
      <w:r>
        <w:rPr>
          <w:rFonts w:hint="eastAsia" w:ascii="宋体" w:hAnsi="宋体" w:cs="宋体"/>
          <w:sz w:val="21"/>
          <w:szCs w:val="21"/>
        </w:rPr>
        <w:fldChar w:fldCharType="separate"/>
      </w:r>
      <w:r>
        <w:rPr>
          <w:rFonts w:hint="eastAsia" w:ascii="宋体" w:hAnsi="宋体" w:cs="宋体"/>
          <w:sz w:val="21"/>
          <w:szCs w:val="21"/>
        </w:rPr>
        <w:t>28</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"_Toc32712" </w:instrText>
      </w:r>
      <w:r>
        <w:fldChar w:fldCharType="separate"/>
      </w:r>
      <w:r>
        <w:rPr>
          <w:rFonts w:hint="eastAsia" w:ascii="宋体" w:hAnsi="宋体" w:cs="宋体"/>
          <w:sz w:val="21"/>
          <w:szCs w:val="21"/>
          <w:lang w:val="zh-CN"/>
        </w:rPr>
        <w:t xml:space="preserve">第五章  </w:t>
      </w:r>
      <w:r>
        <w:rPr>
          <w:rFonts w:hint="eastAsia" w:ascii="宋体" w:hAnsi="宋体" w:cs="宋体"/>
          <w:sz w:val="21"/>
          <w:szCs w:val="21"/>
        </w:rPr>
        <w:t>响应文件格式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_Toc32712 \h </w:instrText>
      </w:r>
      <w:r>
        <w:rPr>
          <w:rFonts w:hint="eastAsia" w:ascii="宋体" w:hAnsi="宋体" w:cs="宋体"/>
          <w:sz w:val="21"/>
          <w:szCs w:val="21"/>
        </w:rPr>
        <w:fldChar w:fldCharType="separate"/>
      </w:r>
      <w:r>
        <w:rPr>
          <w:rFonts w:hint="eastAsia" w:ascii="宋体" w:hAnsi="宋体" w:cs="宋体"/>
          <w:sz w:val="21"/>
          <w:szCs w:val="21"/>
        </w:rPr>
        <w:t>30</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"_Toc8767" </w:instrText>
      </w:r>
      <w:r>
        <w:fldChar w:fldCharType="separate"/>
      </w:r>
      <w:r>
        <w:rPr>
          <w:rFonts w:hint="eastAsia" w:ascii="宋体" w:hAnsi="宋体" w:cs="宋体"/>
          <w:sz w:val="21"/>
          <w:szCs w:val="21"/>
        </w:rPr>
        <w:t>一、磋商响应函</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_Toc8767 \h </w:instrText>
      </w:r>
      <w:r>
        <w:rPr>
          <w:rFonts w:hint="eastAsia" w:ascii="宋体" w:hAnsi="宋体" w:cs="宋体"/>
          <w:sz w:val="21"/>
          <w:szCs w:val="21"/>
        </w:rPr>
        <w:fldChar w:fldCharType="separate"/>
      </w:r>
      <w:r>
        <w:rPr>
          <w:rFonts w:hint="eastAsia" w:ascii="宋体" w:hAnsi="宋体" w:cs="宋体"/>
          <w:sz w:val="21"/>
          <w:szCs w:val="21"/>
        </w:rPr>
        <w:t>32</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hint="eastAsia" w:ascii="宋体" w:hAnsi="宋体" w:eastAsia="宋体" w:cs="宋体"/>
          <w:sz w:val="21"/>
          <w:szCs w:val="21"/>
          <w:lang w:val="en-US" w:eastAsia="zh-CN"/>
        </w:rPr>
      </w:pPr>
      <w:r>
        <w:fldChar w:fldCharType="begin"/>
      </w:r>
      <w:r>
        <w:instrText xml:space="preserve"> HYPERLINK \l "_Toc1030" </w:instrText>
      </w:r>
      <w:r>
        <w:fldChar w:fldCharType="separate"/>
      </w:r>
      <w:r>
        <w:rPr>
          <w:rFonts w:hint="eastAsia" w:ascii="宋体" w:hAnsi="宋体" w:cs="宋体"/>
          <w:sz w:val="21"/>
          <w:szCs w:val="21"/>
        </w:rPr>
        <w:t xml:space="preserve">二、 </w:t>
      </w:r>
      <w:r>
        <w:rPr>
          <w:rFonts w:hint="eastAsia" w:ascii="宋体" w:hAnsi="宋体" w:cs="宋体"/>
          <w:sz w:val="21"/>
          <w:szCs w:val="21"/>
          <w:lang w:eastAsia="zh-CN"/>
        </w:rPr>
        <w:t>货物</w:t>
      </w:r>
      <w:r>
        <w:rPr>
          <w:rFonts w:hint="eastAsia" w:ascii="宋体" w:hAnsi="宋体" w:cs="宋体"/>
          <w:sz w:val="21"/>
          <w:szCs w:val="21"/>
        </w:rPr>
        <w:t>报价表</w:t>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fldChar w:fldCharType="end"/>
      </w:r>
      <w:r>
        <w:rPr>
          <w:rFonts w:hint="eastAsia" w:ascii="宋体" w:hAnsi="宋体" w:cs="宋体"/>
          <w:sz w:val="21"/>
          <w:szCs w:val="21"/>
          <w:lang w:val="en-US" w:eastAsia="zh-CN"/>
        </w:rPr>
        <w:t>3</w:t>
      </w:r>
    </w:p>
    <w:p>
      <w:pPr>
        <w:pStyle w:val="30"/>
        <w:tabs>
          <w:tab w:val="right" w:leader="dot" w:pos="9070"/>
        </w:tabs>
        <w:rPr>
          <w:rFonts w:ascii="宋体" w:hAnsi="宋体" w:cs="宋体"/>
          <w:sz w:val="21"/>
          <w:szCs w:val="21"/>
        </w:rPr>
      </w:pPr>
      <w:r>
        <w:fldChar w:fldCharType="begin"/>
      </w:r>
      <w:r>
        <w:instrText xml:space="preserve"> HYPERLINK \l "_Toc11099" </w:instrText>
      </w:r>
      <w:r>
        <w:fldChar w:fldCharType="separate"/>
      </w:r>
      <w:r>
        <w:rPr>
          <w:rFonts w:hint="eastAsia" w:ascii="宋体" w:hAnsi="宋体" w:cs="宋体"/>
          <w:sz w:val="21"/>
          <w:szCs w:val="21"/>
        </w:rPr>
        <w:t>三、</w:t>
      </w:r>
      <w:r>
        <w:rPr>
          <w:rFonts w:hint="eastAsia" w:ascii="宋体" w:hAnsi="宋体" w:cs="宋体"/>
          <w:sz w:val="21"/>
          <w:szCs w:val="21"/>
          <w:lang w:eastAsia="zh-CN"/>
        </w:rPr>
        <w:t>货物</w:t>
      </w:r>
      <w:r>
        <w:rPr>
          <w:rFonts w:hint="eastAsia" w:ascii="宋体" w:hAnsi="宋体" w:cs="宋体"/>
          <w:sz w:val="21"/>
          <w:szCs w:val="21"/>
        </w:rPr>
        <w:t>内容及质量要求响应表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_Toc11099 \h </w:instrText>
      </w:r>
      <w:r>
        <w:rPr>
          <w:rFonts w:hint="eastAsia" w:ascii="宋体" w:hAnsi="宋体" w:cs="宋体"/>
          <w:sz w:val="21"/>
          <w:szCs w:val="21"/>
        </w:rPr>
        <w:fldChar w:fldCharType="separate"/>
      </w:r>
      <w:r>
        <w:rPr>
          <w:rFonts w:hint="eastAsia" w:ascii="宋体" w:hAnsi="宋体" w:cs="宋体"/>
          <w:sz w:val="21"/>
          <w:szCs w:val="21"/>
        </w:rPr>
        <w:t>34</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hint="eastAsia" w:ascii="宋体" w:hAnsi="宋体" w:eastAsia="宋体" w:cs="宋体"/>
          <w:sz w:val="21"/>
          <w:szCs w:val="21"/>
          <w:lang w:val="en-US" w:eastAsia="zh-CN"/>
        </w:rPr>
      </w:pPr>
      <w:r>
        <w:fldChar w:fldCharType="begin"/>
      </w:r>
      <w:r>
        <w:instrText xml:space="preserve"> HYPERLINK \l "_Toc5836" </w:instrText>
      </w:r>
      <w:r>
        <w:fldChar w:fldCharType="separate"/>
      </w:r>
      <w:r>
        <w:rPr>
          <w:rFonts w:hint="eastAsia" w:ascii="宋体" w:hAnsi="宋体" w:cs="宋体"/>
          <w:sz w:val="21"/>
          <w:szCs w:val="21"/>
        </w:rPr>
        <w:t>四、 最后报价表</w:t>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fldChar w:fldCharType="end"/>
      </w:r>
      <w:r>
        <w:rPr>
          <w:rFonts w:hint="eastAsia" w:ascii="宋体" w:hAnsi="宋体" w:cs="宋体"/>
          <w:sz w:val="21"/>
          <w:szCs w:val="21"/>
          <w:lang w:val="en-US" w:eastAsia="zh-CN"/>
        </w:rPr>
        <w:t>5</w:t>
      </w:r>
    </w:p>
    <w:p>
      <w:pPr>
        <w:pStyle w:val="30"/>
        <w:tabs>
          <w:tab w:val="right" w:leader="dot" w:pos="9070"/>
        </w:tabs>
        <w:rPr>
          <w:rFonts w:ascii="宋体" w:hAnsi="宋体" w:cs="宋体"/>
          <w:sz w:val="21"/>
          <w:szCs w:val="21"/>
        </w:rPr>
      </w:pPr>
      <w:r>
        <w:fldChar w:fldCharType="begin"/>
      </w:r>
      <w:r>
        <w:instrText xml:space="preserve"> HYPERLINK \l "_Toc6619" </w:instrText>
      </w:r>
      <w:r>
        <w:fldChar w:fldCharType="separate"/>
      </w:r>
      <w:r>
        <w:rPr>
          <w:rFonts w:hint="eastAsia" w:ascii="宋体" w:hAnsi="宋体" w:cs="宋体"/>
          <w:sz w:val="21"/>
          <w:szCs w:val="21"/>
        </w:rPr>
        <w:t>五、供货及响应技术方案</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_Toc6619 \h </w:instrText>
      </w:r>
      <w:r>
        <w:rPr>
          <w:rFonts w:hint="eastAsia" w:ascii="宋体" w:hAnsi="宋体" w:cs="宋体"/>
          <w:sz w:val="21"/>
          <w:szCs w:val="21"/>
        </w:rPr>
        <w:fldChar w:fldCharType="separate"/>
      </w:r>
      <w:r>
        <w:rPr>
          <w:rFonts w:hint="eastAsia" w:ascii="宋体" w:hAnsi="宋体" w:cs="宋体"/>
          <w:sz w:val="21"/>
          <w:szCs w:val="21"/>
        </w:rPr>
        <w:t>36</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"_Toc17267" </w:instrText>
      </w:r>
      <w:r>
        <w:fldChar w:fldCharType="separate"/>
      </w:r>
      <w:r>
        <w:rPr>
          <w:rFonts w:hint="eastAsia" w:ascii="宋体" w:hAnsi="宋体" w:cs="宋体"/>
          <w:sz w:val="21"/>
          <w:szCs w:val="21"/>
        </w:rPr>
        <w:t>六、诚信响应承诺书</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_Toc17267 \h </w:instrText>
      </w:r>
      <w:r>
        <w:rPr>
          <w:rFonts w:hint="eastAsia" w:ascii="宋体" w:hAnsi="宋体" w:cs="宋体"/>
          <w:sz w:val="21"/>
          <w:szCs w:val="21"/>
        </w:rPr>
        <w:fldChar w:fldCharType="separate"/>
      </w:r>
      <w:r>
        <w:rPr>
          <w:rFonts w:hint="eastAsia" w:ascii="宋体" w:hAnsi="宋体" w:cs="宋体"/>
          <w:sz w:val="21"/>
          <w:szCs w:val="21"/>
        </w:rPr>
        <w:t>37</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"_Toc26001" </w:instrText>
      </w:r>
      <w:r>
        <w:fldChar w:fldCharType="separate"/>
      </w:r>
      <w:r>
        <w:rPr>
          <w:rFonts w:hint="eastAsia" w:ascii="宋体" w:hAnsi="宋体" w:cs="宋体"/>
          <w:sz w:val="21"/>
          <w:szCs w:val="21"/>
        </w:rPr>
        <w:t>七、资格证明文件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_Toc26001 \h </w:instrText>
      </w:r>
      <w:r>
        <w:rPr>
          <w:rFonts w:hint="eastAsia" w:ascii="宋体" w:hAnsi="宋体" w:cs="宋体"/>
          <w:sz w:val="21"/>
          <w:szCs w:val="21"/>
        </w:rPr>
        <w:fldChar w:fldCharType="separate"/>
      </w:r>
      <w:r>
        <w:rPr>
          <w:rFonts w:hint="eastAsia" w:ascii="宋体" w:hAnsi="宋体" w:cs="宋体"/>
          <w:sz w:val="21"/>
          <w:szCs w:val="21"/>
        </w:rPr>
        <w:t>38</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60"/>
        </w:tabs>
        <w:spacing w:line="360" w:lineRule="auto"/>
        <w:rPr>
          <w:szCs w:val="21"/>
        </w:rPr>
        <w:sectPr>
          <w:footerReference r:id="rId6" w:type="default"/>
          <w:pgSz w:w="11906" w:h="16838"/>
          <w:pgMar w:top="1418" w:right="1418" w:bottom="1418" w:left="1418" w:header="851" w:footer="680" w:gutter="0"/>
          <w:pgBorders>
            <w:bottom w:val="single" w:color="auto" w:sz="4" w:space="1"/>
          </w:pgBorders>
          <w:pgNumType w:start="1"/>
          <w:cols w:space="720" w:num="1"/>
          <w:docGrid w:linePitch="290" w:charSpace="0"/>
        </w:sectPr>
      </w:pPr>
      <w:r>
        <w:rPr>
          <w:rFonts w:hint="eastAsia" w:ascii="宋体" w:hAnsi="宋体" w:cs="宋体"/>
          <w:sz w:val="21"/>
          <w:szCs w:val="21"/>
        </w:rPr>
        <w:fldChar w:fldCharType="end"/>
      </w:r>
      <w:bookmarkStart w:id="0" w:name="_Toc21464"/>
      <w:bookmarkStart w:id="1" w:name="_Toc439316870"/>
    </w:p>
    <w:p>
      <w:pPr>
        <w:pStyle w:val="3"/>
        <w:spacing w:before="62" w:beforeLines="20" w:after="62" w:afterLines="20" w:line="480" w:lineRule="exact"/>
        <w:ind w:firstLine="0" w:firstLineChars="0"/>
        <w:jc w:val="center"/>
        <w:rPr>
          <w:rFonts w:ascii="Arial" w:hAnsi="Arial"/>
          <w:kern w:val="2"/>
          <w:sz w:val="32"/>
          <w:szCs w:val="32"/>
        </w:rPr>
      </w:pPr>
      <w:bookmarkStart w:id="2" w:name="_Toc30804"/>
      <w:r>
        <w:rPr>
          <w:rFonts w:hint="eastAsia"/>
          <w:kern w:val="2"/>
          <w:sz w:val="32"/>
          <w:szCs w:val="32"/>
        </w:rPr>
        <w:t>第一章</w:t>
      </w:r>
      <w:r>
        <w:rPr>
          <w:kern w:val="2"/>
          <w:sz w:val="32"/>
          <w:szCs w:val="32"/>
        </w:rPr>
        <w:t xml:space="preserve">   </w:t>
      </w:r>
      <w:r>
        <w:rPr>
          <w:rFonts w:hint="eastAsia"/>
          <w:kern w:val="2"/>
          <w:sz w:val="32"/>
          <w:szCs w:val="32"/>
        </w:rPr>
        <w:t>竞争性磋商</w:t>
      </w:r>
      <w:bookmarkEnd w:id="0"/>
      <w:r>
        <w:rPr>
          <w:rFonts w:hint="eastAsia"/>
          <w:kern w:val="2"/>
          <w:sz w:val="32"/>
          <w:szCs w:val="32"/>
        </w:rPr>
        <w:t>公告</w:t>
      </w:r>
      <w:bookmarkEnd w:id="2"/>
    </w:p>
    <w:p>
      <w:pPr>
        <w:jc w:val="center"/>
        <w:rPr>
          <w:rFonts w:ascii="华文中宋" w:hAnsi="华文中宋" w:eastAsia="华文中宋"/>
          <w:b/>
          <w:bCs/>
          <w:kern w:val="44"/>
          <w:sz w:val="32"/>
          <w:szCs w:val="32"/>
        </w:rPr>
      </w:pPr>
      <w:bookmarkStart w:id="3" w:name="_Toc28359011"/>
      <w:bookmarkStart w:id="4" w:name="_Toc35393797"/>
      <w:r>
        <w:rPr>
          <w:rFonts w:hint="eastAsia" w:ascii="华文中宋" w:hAnsi="华文中宋" w:eastAsia="华文中宋"/>
          <w:b/>
          <w:bCs/>
          <w:kern w:val="44"/>
          <w:sz w:val="32"/>
          <w:szCs w:val="32"/>
          <w:lang w:eastAsia="zh-CN"/>
        </w:rPr>
        <w:t>安庆皖江高科创业服务有限公司环保车辆采购项目</w:t>
      </w:r>
      <w:r>
        <w:rPr>
          <w:rFonts w:hint="eastAsia" w:ascii="华文中宋" w:hAnsi="华文中宋" w:eastAsia="华文中宋"/>
          <w:b/>
          <w:bCs/>
          <w:kern w:val="44"/>
          <w:sz w:val="32"/>
          <w:szCs w:val="32"/>
        </w:rPr>
        <w:t>竞争性磋商公告</w:t>
      </w:r>
      <w:bookmarkEnd w:id="3"/>
      <w:bookmarkEnd w:id="4"/>
    </w:p>
    <w:tbl>
      <w:tblPr>
        <w:tblStyle w:val="61"/>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安庆皖江高科创业服务有限公司环保车辆采购项目</w:t>
            </w:r>
            <w:r>
              <w:rPr>
                <w:rFonts w:hint="eastAsia" w:ascii="仿宋" w:hAnsi="仿宋" w:eastAsia="仿宋"/>
                <w:sz w:val="28"/>
                <w:szCs w:val="28"/>
                <w:u w:val="single"/>
              </w:rPr>
              <w:t>的潜在供应商应于</w:t>
            </w:r>
            <w:r>
              <w:rPr>
                <w:rFonts w:hint="eastAsia" w:ascii="仿宋" w:hAnsi="仿宋" w:eastAsia="仿宋"/>
                <w:sz w:val="28"/>
                <w:szCs w:val="28"/>
                <w:u w:val="single"/>
                <w:lang w:eastAsia="zh-CN"/>
              </w:rPr>
              <w:t>2023年5月18日9时30分</w:t>
            </w:r>
            <w:r>
              <w:rPr>
                <w:rFonts w:hint="eastAsia" w:ascii="仿宋" w:hAnsi="仿宋" w:eastAsia="仿宋"/>
                <w:sz w:val="28"/>
                <w:szCs w:val="28"/>
                <w:u w:val="single"/>
              </w:rPr>
              <w:t>（北京时间）</w:t>
            </w:r>
            <w:r>
              <w:rPr>
                <w:rFonts w:hint="eastAsia" w:ascii="仿宋" w:hAnsi="仿宋" w:eastAsia="仿宋"/>
                <w:sz w:val="28"/>
                <w:szCs w:val="28"/>
              </w:rPr>
              <w:t>前提交响应文件。 </w:t>
            </w:r>
          </w:p>
        </w:tc>
      </w:tr>
    </w:tbl>
    <w:p>
      <w:pPr>
        <w:rPr>
          <w:szCs w:val="21"/>
        </w:rPr>
      </w:pPr>
    </w:p>
    <w:p>
      <w:pPr>
        <w:rPr>
          <w:rFonts w:ascii="黑体" w:hAnsi="黑体" w:eastAsia="黑体" w:cs="宋体"/>
          <w:bCs/>
          <w:sz w:val="28"/>
          <w:szCs w:val="28"/>
        </w:rPr>
      </w:pPr>
      <w:bookmarkStart w:id="5" w:name="_Toc28359089"/>
      <w:bookmarkStart w:id="6" w:name="_Toc28359012"/>
      <w:bookmarkStart w:id="7" w:name="_Toc35393798"/>
      <w:bookmarkStart w:id="8" w:name="_Toc35393629"/>
      <w:r>
        <w:rPr>
          <w:rFonts w:hint="eastAsia" w:ascii="黑体" w:hAnsi="黑体" w:eastAsia="黑体" w:cs="宋体"/>
          <w:bCs/>
          <w:sz w:val="28"/>
          <w:szCs w:val="28"/>
        </w:rPr>
        <w:t>一、项目基本情况</w:t>
      </w:r>
      <w:bookmarkEnd w:id="5"/>
      <w:bookmarkEnd w:id="6"/>
      <w:bookmarkEnd w:id="7"/>
      <w:bookmarkEnd w:id="8"/>
    </w:p>
    <w:p>
      <w:pPr>
        <w:ind w:firstLine="565" w:firstLineChars="202"/>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CG-AQ-W2023-073</w:t>
      </w:r>
    </w:p>
    <w:p>
      <w:pPr>
        <w:ind w:firstLine="565" w:firstLineChars="202"/>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安庆皖江高科创业服务有限公司环保车辆采购项目</w:t>
      </w:r>
    </w:p>
    <w:p>
      <w:pPr>
        <w:ind w:firstLine="565" w:firstLineChars="202"/>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竞争性磋商</w:t>
      </w:r>
    </w:p>
    <w:p>
      <w:pPr>
        <w:ind w:firstLine="565" w:firstLineChars="202"/>
        <w:rPr>
          <w:rFonts w:hint="eastAsia" w:ascii="仿宋" w:hAnsi="仿宋" w:eastAsia="仿宋"/>
          <w:sz w:val="28"/>
          <w:szCs w:val="28"/>
        </w:rPr>
      </w:pPr>
      <w:r>
        <w:rPr>
          <w:rFonts w:hint="eastAsia" w:ascii="仿宋" w:hAnsi="仿宋" w:eastAsia="仿宋"/>
          <w:sz w:val="28"/>
          <w:szCs w:val="28"/>
        </w:rPr>
        <w:t>预算金额：115万</w:t>
      </w:r>
    </w:p>
    <w:p>
      <w:pPr>
        <w:ind w:firstLine="565" w:firstLineChars="202"/>
        <w:rPr>
          <w:rFonts w:hint="eastAsia" w:ascii="仿宋" w:hAnsi="仿宋" w:eastAsia="仿宋"/>
          <w:sz w:val="28"/>
          <w:szCs w:val="28"/>
        </w:rPr>
      </w:pPr>
      <w:r>
        <w:rPr>
          <w:rFonts w:hint="eastAsia" w:ascii="仿宋" w:hAnsi="仿宋" w:eastAsia="仿宋"/>
          <w:sz w:val="28"/>
          <w:szCs w:val="28"/>
        </w:rPr>
        <w:t>最高限价：115万</w:t>
      </w:r>
    </w:p>
    <w:p>
      <w:pPr>
        <w:ind w:firstLine="565" w:firstLineChars="202"/>
        <w:rPr>
          <w:rFonts w:hint="eastAsia" w:ascii="仿宋" w:hAnsi="仿宋" w:eastAsia="仿宋"/>
          <w:sz w:val="28"/>
          <w:szCs w:val="28"/>
        </w:rPr>
      </w:pPr>
      <w:r>
        <w:rPr>
          <w:rFonts w:hint="eastAsia" w:ascii="仿宋" w:hAnsi="仿宋" w:eastAsia="仿宋"/>
          <w:sz w:val="28"/>
          <w:szCs w:val="28"/>
        </w:rPr>
        <w:t>采购需求： 本次采购货物为清洗车1辆、洗扫车1辆、电动三轮翻桶车1辆，最高限价115万为3辆车裸车价格，不含上牌及保险费用，详见附件。</w:t>
      </w:r>
    </w:p>
    <w:p>
      <w:pPr>
        <w:ind w:firstLine="565" w:firstLineChars="202"/>
        <w:rPr>
          <w:rFonts w:ascii="仿宋" w:hAnsi="仿宋" w:eastAsia="仿宋"/>
          <w:sz w:val="28"/>
          <w:szCs w:val="28"/>
        </w:rPr>
      </w:pPr>
      <w:r>
        <w:rPr>
          <w:rFonts w:hint="eastAsia" w:ascii="仿宋" w:hAnsi="仿宋" w:eastAsia="仿宋"/>
          <w:sz w:val="28"/>
          <w:szCs w:val="28"/>
        </w:rPr>
        <w:t>评标办法：综合评分法</w:t>
      </w:r>
    </w:p>
    <w:p>
      <w:pPr>
        <w:ind w:firstLine="565" w:firstLineChars="202"/>
        <w:rPr>
          <w:rFonts w:ascii="仿宋" w:hAnsi="仿宋" w:eastAsia="仿宋"/>
          <w:sz w:val="28"/>
          <w:szCs w:val="28"/>
        </w:rPr>
      </w:pPr>
      <w:r>
        <w:rPr>
          <w:rFonts w:hint="eastAsia" w:ascii="仿宋" w:hAnsi="仿宋" w:eastAsia="仿宋"/>
          <w:sz w:val="28"/>
          <w:szCs w:val="28"/>
        </w:rPr>
        <w:t>合同履行期限：合同签订生效后 30日内完成。</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9" w:name="_Toc28359090"/>
      <w:bookmarkStart w:id="10" w:name="_Toc35393799"/>
      <w:bookmarkStart w:id="11" w:name="_Toc35393630"/>
      <w:bookmarkStart w:id="12" w:name="_Toc28359013"/>
      <w:r>
        <w:rPr>
          <w:rFonts w:hint="eastAsia" w:ascii="黑体" w:hAnsi="黑体" w:eastAsia="黑体" w:cs="宋体"/>
          <w:bCs/>
          <w:sz w:val="28"/>
          <w:szCs w:val="28"/>
        </w:rPr>
        <w:t>二、申请人的资格要求：</w:t>
      </w:r>
      <w:bookmarkEnd w:id="9"/>
      <w:bookmarkEnd w:id="10"/>
      <w:bookmarkEnd w:id="11"/>
      <w:bookmarkEnd w:id="12"/>
    </w:p>
    <w:p>
      <w:pPr>
        <w:ind w:firstLine="565" w:firstLineChars="202"/>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565" w:firstLineChars="202"/>
        <w:rPr>
          <w:rFonts w:ascii="仿宋" w:hAnsi="仿宋" w:eastAsia="仿宋"/>
          <w:sz w:val="28"/>
          <w:szCs w:val="28"/>
        </w:rPr>
      </w:pPr>
      <w:bookmarkStart w:id="13" w:name="_Toc28359091"/>
      <w:bookmarkStart w:id="14" w:name="_Toc2835901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w:t>
      </w:r>
    </w:p>
    <w:p>
      <w:pPr>
        <w:rPr>
          <w:rFonts w:ascii="黑体" w:hAnsi="黑体" w:eastAsia="黑体" w:cs="宋体"/>
          <w:bCs/>
          <w:sz w:val="28"/>
          <w:szCs w:val="28"/>
        </w:rPr>
      </w:pPr>
      <w:bookmarkStart w:id="15" w:name="_Toc35393800"/>
      <w:bookmarkStart w:id="16" w:name="_Toc35393631"/>
      <w:r>
        <w:rPr>
          <w:rFonts w:hint="eastAsia" w:ascii="黑体" w:hAnsi="黑体" w:eastAsia="黑体" w:cs="宋体"/>
          <w:bCs/>
          <w:sz w:val="28"/>
          <w:szCs w:val="28"/>
        </w:rPr>
        <w:t>三、获取采购文件</w:t>
      </w:r>
      <w:bookmarkEnd w:id="13"/>
      <w:bookmarkEnd w:id="14"/>
      <w:bookmarkEnd w:id="15"/>
      <w:bookmarkEnd w:id="16"/>
    </w:p>
    <w:p>
      <w:pPr>
        <w:ind w:firstLine="565" w:firstLineChars="202"/>
        <w:rPr>
          <w:rFonts w:ascii="仿宋" w:hAnsi="仿宋" w:eastAsia="仿宋" w:cs="宋体"/>
          <w:sz w:val="28"/>
          <w:szCs w:val="28"/>
        </w:rPr>
      </w:pPr>
      <w:r>
        <w:rPr>
          <w:rFonts w:hint="eastAsia" w:ascii="仿宋" w:hAnsi="仿宋" w:eastAsia="仿宋" w:cs="仿宋"/>
          <w:kern w:val="0"/>
          <w:sz w:val="28"/>
          <w:szCs w:val="28"/>
        </w:rPr>
        <w:t>1、请确定参加磋商的响应人于</w:t>
      </w:r>
      <w:r>
        <w:rPr>
          <w:rFonts w:hint="eastAsia" w:ascii="仿宋" w:hAnsi="仿宋" w:eastAsia="仿宋" w:cs="仿宋"/>
          <w:kern w:val="0"/>
          <w:sz w:val="28"/>
          <w:szCs w:val="28"/>
          <w:lang w:eastAsia="zh-CN"/>
        </w:rPr>
        <w:t>2023</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时</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分前，将盖公章的确认回执函（详见附件）及缴纳工本费的转账截图发送至邮箱</w:t>
      </w:r>
      <w:r>
        <w:rPr>
          <w:rFonts w:hint="eastAsia" w:ascii="仿宋" w:hAnsi="仿宋" w:eastAsia="仿宋" w:cs="仿宋"/>
          <w:kern w:val="0"/>
          <w:sz w:val="28"/>
          <w:szCs w:val="28"/>
          <w:lang w:eastAsia="zh-CN"/>
        </w:rPr>
        <w:t>3050346988@qq.com</w:t>
      </w:r>
      <w:r>
        <w:rPr>
          <w:rFonts w:hint="eastAsia" w:ascii="仿宋" w:hAnsi="仿宋" w:eastAsia="仿宋" w:cs="仿宋"/>
          <w:kern w:val="0"/>
          <w:sz w:val="28"/>
          <w:szCs w:val="28"/>
        </w:rPr>
        <w:t>。（超过时间的邮件无效，无法获取文件）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2、磋商文件及相关资料工本费：人民币400元/套，售后不退。</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开户名：安庆皖宜高科工程咨询有限公司</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开户行：兴业银行安庆分行</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账户：4970 1010 0100 4447 16</w:t>
      </w:r>
    </w:p>
    <w:p>
      <w:pPr>
        <w:ind w:firstLine="568" w:firstLineChars="202"/>
        <w:rPr>
          <w:rFonts w:ascii="仿宋" w:hAnsi="仿宋" w:eastAsia="仿宋" w:cs="仿宋"/>
          <w:kern w:val="0"/>
          <w:sz w:val="28"/>
          <w:szCs w:val="28"/>
        </w:rPr>
      </w:pPr>
      <w:r>
        <w:rPr>
          <w:rFonts w:hint="eastAsia" w:ascii="仿宋" w:hAnsi="仿宋" w:eastAsia="仿宋" w:cs="仿宋"/>
          <w:b/>
          <w:bCs/>
          <w:kern w:val="0"/>
          <w:sz w:val="28"/>
          <w:szCs w:val="28"/>
        </w:rPr>
        <w:t>若为自然人转账工本费必须在转账备注中写明供应商名称</w:t>
      </w:r>
      <w:r>
        <w:rPr>
          <w:rFonts w:hint="eastAsia" w:ascii="仿宋" w:hAnsi="仿宋" w:eastAsia="仿宋" w:cs="仿宋"/>
          <w:kern w:val="0"/>
          <w:sz w:val="28"/>
          <w:szCs w:val="28"/>
        </w:rPr>
        <w:t>。若自然人转账工本费未备注供应商名称的，转账截图发至邮箱的同时，必须要附上供应商对该人的授权书（授权该人对这个项目转账工本费及获得磋商文件，加盖供应商公章）。</w:t>
      </w:r>
    </w:p>
    <w:p>
      <w:pPr>
        <w:rPr>
          <w:rFonts w:ascii="黑体" w:hAnsi="黑体" w:eastAsia="黑体" w:cs="宋体"/>
          <w:bCs/>
          <w:sz w:val="28"/>
          <w:szCs w:val="28"/>
        </w:rPr>
      </w:pPr>
      <w:bookmarkStart w:id="17" w:name="_Toc35393632"/>
      <w:bookmarkStart w:id="18" w:name="_Toc28359092"/>
      <w:bookmarkStart w:id="19" w:name="_Toc35393801"/>
      <w:bookmarkStart w:id="20" w:name="_Toc28359015"/>
      <w:r>
        <w:rPr>
          <w:rFonts w:hint="eastAsia" w:ascii="黑体" w:hAnsi="黑体" w:eastAsia="黑体" w:cs="宋体"/>
          <w:bCs/>
          <w:sz w:val="28"/>
          <w:szCs w:val="28"/>
        </w:rPr>
        <w:t>四、响应文件提交</w:t>
      </w:r>
      <w:bookmarkEnd w:id="17"/>
      <w:bookmarkEnd w:id="18"/>
      <w:bookmarkEnd w:id="19"/>
      <w:bookmarkEnd w:id="20"/>
    </w:p>
    <w:p>
      <w:pPr>
        <w:ind w:firstLine="565" w:firstLineChars="202"/>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lang w:eastAsia="zh-CN"/>
        </w:rPr>
        <w:t>2023年5月18日9时30分</w:t>
      </w:r>
      <w:r>
        <w:rPr>
          <w:rFonts w:hint="eastAsia" w:ascii="仿宋" w:hAnsi="仿宋" w:eastAsia="仿宋"/>
          <w:bCs/>
          <w:sz w:val="28"/>
          <w:szCs w:val="28"/>
        </w:rPr>
        <w:t>（北京时间）</w:t>
      </w:r>
    </w:p>
    <w:p>
      <w:pPr>
        <w:widowControl/>
        <w:shd w:val="clear" w:color="auto" w:fill="FFFFFF"/>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安庆市龙山路213号</w:t>
      </w:r>
    </w:p>
    <w:p>
      <w:pPr>
        <w:rPr>
          <w:rFonts w:ascii="黑体" w:hAnsi="黑体" w:eastAsia="黑体" w:cs="宋体"/>
          <w:bCs/>
          <w:sz w:val="28"/>
          <w:szCs w:val="28"/>
        </w:rPr>
      </w:pPr>
      <w:bookmarkStart w:id="21" w:name="_Toc35393633"/>
      <w:bookmarkStart w:id="22" w:name="_Toc28359093"/>
      <w:bookmarkStart w:id="23" w:name="_Toc35393802"/>
      <w:bookmarkStart w:id="24" w:name="_Toc28359016"/>
      <w:r>
        <w:rPr>
          <w:rFonts w:hint="eastAsia" w:ascii="黑体" w:hAnsi="黑体" w:eastAsia="黑体" w:cs="宋体"/>
          <w:bCs/>
          <w:sz w:val="28"/>
          <w:szCs w:val="28"/>
        </w:rPr>
        <w:t>五、开启</w:t>
      </w:r>
      <w:bookmarkEnd w:id="21"/>
      <w:bookmarkEnd w:id="22"/>
      <w:bookmarkEnd w:id="23"/>
      <w:bookmarkEnd w:id="24"/>
    </w:p>
    <w:p>
      <w:pPr>
        <w:ind w:firstLine="565" w:firstLineChars="202"/>
        <w:rPr>
          <w:rFonts w:hint="eastAsia" w:ascii="仿宋" w:hAnsi="仿宋" w:eastAsia="仿宋"/>
          <w:bCs/>
          <w:sz w:val="28"/>
          <w:szCs w:val="28"/>
        </w:rPr>
      </w:pPr>
      <w:r>
        <w:rPr>
          <w:rFonts w:hint="eastAsia" w:ascii="仿宋" w:hAnsi="仿宋" w:eastAsia="仿宋"/>
          <w:sz w:val="28"/>
          <w:szCs w:val="28"/>
        </w:rPr>
        <w:t>时间：</w:t>
      </w:r>
      <w:r>
        <w:rPr>
          <w:rFonts w:hint="eastAsia" w:ascii="仿宋" w:hAnsi="仿宋" w:eastAsia="仿宋"/>
          <w:sz w:val="28"/>
          <w:szCs w:val="28"/>
          <w:lang w:eastAsia="zh-CN"/>
        </w:rPr>
        <w:t>2023年5月18日9时30分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安庆市龙山路213号</w:t>
      </w:r>
    </w:p>
    <w:p>
      <w:pPr>
        <w:rPr>
          <w:rFonts w:ascii="黑体" w:hAnsi="黑体" w:eastAsia="黑体" w:cs="宋体"/>
          <w:bCs/>
          <w:sz w:val="28"/>
          <w:szCs w:val="28"/>
        </w:rPr>
      </w:pPr>
      <w:bookmarkStart w:id="25" w:name="_Toc35393803"/>
      <w:bookmarkStart w:id="26" w:name="_Toc28359017"/>
      <w:bookmarkStart w:id="27" w:name="_Toc28359094"/>
      <w:bookmarkStart w:id="28" w:name="_Toc35393634"/>
      <w:r>
        <w:rPr>
          <w:rFonts w:hint="eastAsia" w:ascii="黑体" w:hAnsi="黑体" w:eastAsia="黑体" w:cs="宋体"/>
          <w:bCs/>
          <w:sz w:val="28"/>
          <w:szCs w:val="28"/>
        </w:rPr>
        <w:t>六、公告期限</w:t>
      </w:r>
      <w:bookmarkEnd w:id="25"/>
      <w:bookmarkEnd w:id="26"/>
      <w:bookmarkEnd w:id="27"/>
      <w:bookmarkEnd w:id="28"/>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3</w:t>
      </w:r>
      <w:r>
        <w:rPr>
          <w:rFonts w:hint="eastAsia" w:ascii="仿宋" w:hAnsi="仿宋" w:eastAsia="仿宋" w:cs="宋体"/>
          <w:kern w:val="0"/>
          <w:sz w:val="28"/>
          <w:szCs w:val="28"/>
        </w:rPr>
        <w:t>个工作日。</w:t>
      </w:r>
    </w:p>
    <w:p>
      <w:pPr>
        <w:rPr>
          <w:rFonts w:ascii="黑体" w:hAnsi="黑体" w:eastAsia="黑体" w:cs="宋体"/>
          <w:bCs/>
          <w:sz w:val="28"/>
          <w:szCs w:val="28"/>
        </w:rPr>
      </w:pPr>
      <w:bookmarkStart w:id="29" w:name="_Toc35393635"/>
      <w:bookmarkStart w:id="30" w:name="_Toc35393804"/>
      <w:r>
        <w:rPr>
          <w:rFonts w:hint="eastAsia" w:ascii="黑体" w:hAnsi="黑体" w:eastAsia="黑体" w:cs="宋体"/>
          <w:bCs/>
          <w:sz w:val="28"/>
          <w:szCs w:val="28"/>
        </w:rPr>
        <w:t>七、其他补充事宜</w:t>
      </w:r>
      <w:bookmarkEnd w:id="29"/>
      <w:bookmarkEnd w:id="30"/>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供应商的联系人电话(手机)、电子邮箱等通讯方式在磋商过程中必须保持畅通，否则因上述原因造成的后果，责任自负。</w:t>
      </w:r>
    </w:p>
    <w:p>
      <w:pPr>
        <w:ind w:firstLine="565" w:firstLineChars="202"/>
        <w:rPr>
          <w:rFonts w:ascii="仿宋" w:hAnsi="仿宋" w:eastAsia="仿宋" w:cs="仿宋"/>
          <w:kern w:val="0"/>
          <w:sz w:val="28"/>
          <w:szCs w:val="28"/>
        </w:rPr>
      </w:pPr>
      <w:r>
        <w:rPr>
          <w:rFonts w:ascii="仿宋" w:hAnsi="仿宋" w:eastAsia="仿宋"/>
          <w:sz w:val="28"/>
          <w:szCs w:val="28"/>
        </w:rPr>
        <w:t>2.</w:t>
      </w:r>
      <w:r>
        <w:rPr>
          <w:rFonts w:hint="eastAsia" w:ascii="仿宋" w:hAnsi="仿宋" w:eastAsia="仿宋" w:cs="仿宋"/>
          <w:kern w:val="0"/>
          <w:sz w:val="28"/>
          <w:szCs w:val="28"/>
        </w:rPr>
        <w:t>本竞争性磋商文件的澄清、修改、补充说明等内容均通过安庆市皖宜咨询管理有限公司（http://www.wyxmzx.com/）和</w:t>
      </w:r>
      <w:r>
        <w:rPr>
          <w:rFonts w:hint="eastAsia" w:ascii="仿宋" w:hAnsi="仿宋" w:eastAsia="仿宋" w:cs="仿宋"/>
          <w:kern w:val="0"/>
          <w:sz w:val="28"/>
          <w:szCs w:val="28"/>
          <w:lang w:eastAsia="zh-CN"/>
        </w:rPr>
        <w:t>安庆皖江高科技投资发展有限公司（http://www.wanjianggaoke.com/）、安庆经济技术开发区管委会（https://aqdz.anqing.gov.cn/）</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sz w:val="28"/>
          <w:szCs w:val="28"/>
        </w:rPr>
      </w:pPr>
      <w:r>
        <w:rPr>
          <w:rFonts w:hint="eastAsia" w:ascii="仿宋" w:hAnsi="仿宋" w:eastAsia="仿宋" w:cs="仿宋"/>
          <w:kern w:val="0"/>
          <w:sz w:val="28"/>
          <w:szCs w:val="28"/>
        </w:rPr>
        <w:t>3.获取磋商文件，而放弃参加投标的供应商，请在响应文件提交截止日前以单位名义向</w:t>
      </w:r>
      <w:r>
        <w:rPr>
          <w:rFonts w:hint="eastAsia" w:ascii="仿宋" w:hAnsi="仿宋" w:eastAsia="仿宋" w:cs="仿宋"/>
          <w:kern w:val="0"/>
          <w:sz w:val="28"/>
          <w:szCs w:val="28"/>
          <w:lang w:eastAsia="zh-CN"/>
        </w:rPr>
        <w:t>3050346988@qq.com</w:t>
      </w:r>
      <w:r>
        <w:rPr>
          <w:rFonts w:hint="eastAsia" w:ascii="仿宋" w:hAnsi="仿宋" w:eastAsia="仿宋" w:cs="仿宋"/>
          <w:kern w:val="0"/>
          <w:sz w:val="28"/>
          <w:szCs w:val="28"/>
        </w:rPr>
        <w:t>邮箱发送弃标函（格式自拟）。</w:t>
      </w:r>
    </w:p>
    <w:p>
      <w:pPr>
        <w:rPr>
          <w:rFonts w:ascii="黑体" w:hAnsi="黑体" w:eastAsia="黑体" w:cs="宋体"/>
          <w:bCs/>
          <w:sz w:val="28"/>
          <w:szCs w:val="28"/>
        </w:rPr>
      </w:pPr>
      <w:bookmarkStart w:id="31" w:name="_Toc28359095"/>
      <w:bookmarkStart w:id="32" w:name="_Toc35393805"/>
      <w:bookmarkStart w:id="33" w:name="_Toc28359018"/>
      <w:bookmarkStart w:id="34" w:name="_Toc35393636"/>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1"/>
      <w:bookmarkEnd w:id="32"/>
      <w:bookmarkEnd w:id="33"/>
      <w:bookmarkEnd w:id="34"/>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称：安庆皖江高科创业服务有限公司</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地    址：安徽省安庆市经济技术开发区孵化中心B1楼#楼</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 系 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联系方式：0556-5422008</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2.招标代理机构信息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称：安庆皖宜高科工程咨询有限公司</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地　　址：安庆市龙山路213号五楼交易二部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 系 人：戴福婧</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联系方式：0556-5991153</w:t>
      </w:r>
    </w:p>
    <w:p>
      <w:pPr>
        <w:spacing w:line="360" w:lineRule="auto"/>
        <w:ind w:left="1129" w:leftChars="371" w:hanging="350" w:hangingChars="125"/>
        <w:jc w:val="left"/>
        <w:rPr>
          <w:rFonts w:hint="eastAsia" w:ascii="仿宋" w:hAnsi="仿宋" w:eastAsia="仿宋"/>
          <w:sz w:val="28"/>
          <w:szCs w:val="28"/>
          <w:lang w:val="en-US" w:eastAsia="zh-CN"/>
        </w:rPr>
      </w:pPr>
      <w:bookmarkStart w:id="35" w:name="_Toc28359098"/>
      <w:bookmarkStart w:id="36" w:name="_Toc35393808"/>
      <w:bookmarkStart w:id="37" w:name="_Toc35393639"/>
      <w:bookmarkStart w:id="38" w:name="_Toc28359021"/>
      <w:r>
        <w:rPr>
          <w:rFonts w:hint="eastAsia" w:ascii="仿宋" w:hAnsi="仿宋" w:eastAsia="仿宋"/>
          <w:sz w:val="28"/>
          <w:szCs w:val="28"/>
          <w:lang w:val="en-US" w:eastAsia="zh-CN"/>
        </w:rPr>
        <w:t>3.项目联系方式</w:t>
      </w:r>
      <w:bookmarkEnd w:id="35"/>
      <w:bookmarkEnd w:id="36"/>
      <w:bookmarkEnd w:id="37"/>
      <w:bookmarkEnd w:id="38"/>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项目联系人：吴自豪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电　　 话：0556-5422008</w:t>
      </w: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30" w:leftChars="371" w:hanging="351" w:hangingChars="125"/>
        <w:jc w:val="left"/>
        <w:rPr>
          <w:b/>
          <w:bCs/>
          <w:sz w:val="28"/>
          <w:szCs w:val="24"/>
        </w:rPr>
      </w:pPr>
      <w:r>
        <w:rPr>
          <w:rFonts w:hint="eastAsia"/>
          <w:b/>
          <w:bCs/>
          <w:sz w:val="28"/>
          <w:szCs w:val="24"/>
        </w:rPr>
        <w:t xml:space="preserve">附件：            </w:t>
      </w:r>
    </w:p>
    <w:p>
      <w:pPr>
        <w:jc w:val="center"/>
        <w:rPr>
          <w:b/>
          <w:bCs/>
          <w:sz w:val="28"/>
          <w:szCs w:val="24"/>
        </w:rPr>
      </w:pPr>
      <w:r>
        <w:rPr>
          <w:rFonts w:hint="eastAsia"/>
          <w:b/>
          <w:bCs/>
          <w:sz w:val="32"/>
          <w:szCs w:val="28"/>
        </w:rPr>
        <w:t>获取磋商文件的函</w:t>
      </w:r>
    </w:p>
    <w:p>
      <w:pPr>
        <w:rPr>
          <w:rFonts w:ascii="仿宋" w:hAnsi="仿宋" w:eastAsia="仿宋" w:cs="仿宋"/>
          <w:sz w:val="32"/>
          <w:szCs w:val="32"/>
        </w:rPr>
      </w:pPr>
      <w:r>
        <w:rPr>
          <w:rFonts w:hint="eastAsia" w:ascii="仿宋" w:hAnsi="仿宋" w:eastAsia="仿宋" w:cs="仿宋"/>
          <w:sz w:val="32"/>
          <w:szCs w:val="32"/>
        </w:rPr>
        <w:t>安庆皖宜高科工程咨询有限公司：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sz w:val="28"/>
          <w:szCs w:val="28"/>
          <w:lang w:eastAsia="zh-CN"/>
        </w:rPr>
        <w:t>安庆皖江高科创业服务有限公司环保车辆采购项目</w:t>
      </w:r>
      <w:r>
        <w:rPr>
          <w:rFonts w:hint="eastAsia" w:ascii="仿宋" w:hAnsi="仿宋" w:eastAsia="仿宋" w:cs="仿宋"/>
          <w:sz w:val="32"/>
          <w:szCs w:val="32"/>
        </w:rPr>
        <w:t>的磋商文件电子版，该电子版仅做本次投标使用，并承诺不做外用。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sz w:val="28"/>
          <w:szCs w:val="28"/>
          <w:lang w:eastAsia="zh-CN"/>
        </w:rPr>
        <w:t>安庆皖江高科创业服务有限公司环保车辆采购项目</w:t>
      </w:r>
      <w:r>
        <w:rPr>
          <w:rFonts w:hint="eastAsia" w:ascii="仿宋" w:hAnsi="仿宋" w:eastAsia="仿宋" w:cs="仿宋"/>
          <w:sz w:val="32"/>
          <w:szCs w:val="32"/>
        </w:rPr>
        <w:t>磋商文件发至以下邮箱：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424" w:firstLineChars="202"/>
        <w:rPr>
          <w:szCs w:val="21"/>
        </w:rPr>
      </w:pPr>
      <w:r>
        <w:rPr>
          <w:szCs w:val="21"/>
        </w:rPr>
        <w:br w:type="page"/>
      </w:r>
    </w:p>
    <w:p>
      <w:pPr>
        <w:pStyle w:val="3"/>
        <w:spacing w:before="62" w:beforeLines="20" w:after="62" w:afterLines="20" w:line="480" w:lineRule="exact"/>
        <w:ind w:firstLine="0" w:firstLineChars="0"/>
        <w:jc w:val="center"/>
        <w:rPr>
          <w:rFonts w:ascii="Arial" w:hAnsi="Arial"/>
          <w:kern w:val="2"/>
          <w:sz w:val="32"/>
          <w:szCs w:val="32"/>
        </w:rPr>
      </w:pPr>
      <w:bookmarkStart w:id="39" w:name="_Toc20185"/>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1"/>
      <w:bookmarkEnd w:id="39"/>
    </w:p>
    <w:p>
      <w:pPr>
        <w:pStyle w:val="3"/>
        <w:tabs>
          <w:tab w:val="clear" w:pos="1440"/>
          <w:tab w:val="clear" w:pos="5670"/>
        </w:tabs>
        <w:spacing w:beforeLines="0" w:afterLines="0"/>
        <w:ind w:firstLine="0" w:firstLineChars="0"/>
        <w:jc w:val="center"/>
        <w:rPr>
          <w:rFonts w:ascii="宋体" w:hAnsi="宋体" w:eastAsia="宋体" w:cs="Tahoma"/>
          <w:bCs/>
          <w:kern w:val="0"/>
          <w:sz w:val="32"/>
          <w:szCs w:val="32"/>
        </w:rPr>
      </w:pPr>
      <w:bookmarkStart w:id="40" w:name="_Toc439316871"/>
      <w:bookmarkStart w:id="41" w:name="_Toc7863"/>
      <w:r>
        <w:rPr>
          <w:rFonts w:hint="eastAsia" w:ascii="宋体" w:hAnsi="宋体" w:eastAsia="宋体" w:cs="Tahoma"/>
          <w:bCs/>
          <w:kern w:val="0"/>
          <w:sz w:val="32"/>
          <w:szCs w:val="32"/>
        </w:rPr>
        <w:t>第一节</w:t>
      </w:r>
      <w:r>
        <w:rPr>
          <w:rFonts w:ascii="宋体" w:hAnsi="宋体" w:eastAsia="宋体" w:cs="Tahoma"/>
          <w:bCs/>
          <w:kern w:val="0"/>
          <w:sz w:val="32"/>
          <w:szCs w:val="32"/>
        </w:rPr>
        <w:t xml:space="preserve"> </w:t>
      </w:r>
      <w:r>
        <w:rPr>
          <w:rFonts w:hint="eastAsia" w:ascii="宋体" w:hAnsi="宋体" w:eastAsia="宋体" w:cs="Tahoma"/>
          <w:bCs/>
          <w:kern w:val="0"/>
          <w:sz w:val="32"/>
          <w:szCs w:val="32"/>
        </w:rPr>
        <w:t>磋商须知前附表</w:t>
      </w:r>
      <w:bookmarkEnd w:id="40"/>
      <w:bookmarkEnd w:id="41"/>
    </w:p>
    <w:tbl>
      <w:tblPr>
        <w:tblStyle w:val="61"/>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74"/>
        <w:gridCol w:w="6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21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178"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ascii="宋体" w:hAnsi="宋体" w:cs="宋体"/>
                <w:kern w:val="0"/>
                <w:szCs w:val="21"/>
              </w:rPr>
            </w:pPr>
            <w:r>
              <w:rPr>
                <w:rFonts w:hint="eastAsia" w:ascii="宋体" w:hAnsi="宋体" w:cs="宋体"/>
                <w:kern w:val="0"/>
                <w:szCs w:val="21"/>
                <w:lang w:eastAsia="zh-CN"/>
              </w:rPr>
              <w:t>CG-AQ-W2023-073</w:t>
            </w: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eastAsia="宋体" w:cs="宋体"/>
                <w:kern w:val="0"/>
                <w:szCs w:val="21"/>
                <w:lang w:eastAsia="zh-CN"/>
              </w:rPr>
            </w:pPr>
            <w:r>
              <w:rPr>
                <w:rFonts w:hint="eastAsia" w:ascii="宋体" w:hAnsi="宋体" w:cs="宋体"/>
                <w:kern w:val="0"/>
                <w:szCs w:val="21"/>
                <w:lang w:eastAsia="zh-CN"/>
              </w:rPr>
              <w:t>安庆皖江高科创业服务有限公司环保车辆采购项目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eastAsia="宋体" w:cs="宋体"/>
                <w:kern w:val="0"/>
                <w:szCs w:val="21"/>
                <w:lang w:eastAsia="zh-CN"/>
              </w:rPr>
            </w:pPr>
            <w:r>
              <w:rPr>
                <w:rFonts w:hint="eastAsia" w:ascii="宋体" w:hAnsi="宋体" w:cs="宋体"/>
                <w:kern w:val="0"/>
                <w:szCs w:val="21"/>
                <w:lang w:eastAsia="zh-CN"/>
              </w:rPr>
              <w:t>安庆皖江高科创业服务有限公司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4</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代理机构</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ascii="宋体" w:hAnsi="宋体" w:cs="宋体"/>
                <w:kern w:val="0"/>
                <w:szCs w:val="21"/>
              </w:rPr>
            </w:pPr>
            <w:r>
              <w:rPr>
                <w:rFonts w:hint="eastAsia" w:ascii="宋体" w:hAnsi="宋体" w:cs="宋体"/>
                <w:kern w:val="0"/>
                <w:szCs w:val="21"/>
              </w:rPr>
              <w:t>安庆皖宜高科工程咨询有限公司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5</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178"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6</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178"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7</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资金来源</w:t>
            </w:r>
          </w:p>
        </w:tc>
        <w:tc>
          <w:tcPr>
            <w:tcW w:w="617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ascii="宋体" w:hAnsi="宋体" w:cs="宋体"/>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6" w:type="dxa"/>
            <w:tcBorders>
              <w:top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8</w:t>
            </w:r>
          </w:p>
        </w:tc>
        <w:tc>
          <w:tcPr>
            <w:tcW w:w="2174" w:type="dxa"/>
            <w:tcBorders>
              <w:top w:val="single" w:color="auto" w:sz="4" w:space="0"/>
              <w:left w:val="single" w:color="auto" w:sz="4" w:space="0"/>
              <w:right w:val="single" w:color="auto" w:sz="4" w:space="0"/>
            </w:tcBorders>
            <w:vAlign w:val="center"/>
          </w:tcPr>
          <w:p>
            <w:pPr>
              <w:spacing w:line="480" w:lineRule="exact"/>
              <w:jc w:val="center"/>
              <w:rPr>
                <w:rFonts w:hint="eastAsia" w:eastAsia="宋体"/>
                <w:szCs w:val="21"/>
                <w:lang w:eastAsia="zh-CN"/>
              </w:rPr>
            </w:pPr>
            <w:r>
              <w:rPr>
                <w:rFonts w:hint="eastAsia"/>
                <w:szCs w:val="21"/>
                <w:lang w:eastAsia="zh-CN"/>
              </w:rPr>
              <w:t>最高磋商限价</w:t>
            </w:r>
          </w:p>
        </w:tc>
        <w:tc>
          <w:tcPr>
            <w:tcW w:w="617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szCs w:val="21"/>
              </w:rPr>
              <w:t>人民币</w:t>
            </w:r>
            <w:bookmarkStart w:id="135" w:name="_GoBack"/>
            <w:bookmarkEnd w:id="135"/>
            <w:r>
              <w:rPr>
                <w:rFonts w:hint="eastAsia"/>
                <w:szCs w:val="21"/>
              </w:rPr>
              <w:t>壹佰壹拾伍万元整（¥1150000.00元）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9</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17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szCs w:val="21"/>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0</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交货、安装、调试期</w:t>
            </w:r>
          </w:p>
        </w:tc>
        <w:tc>
          <w:tcPr>
            <w:tcW w:w="6178"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合同签订生效后 30日内完成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资格条件</w:t>
            </w:r>
          </w:p>
        </w:tc>
        <w:tc>
          <w:tcPr>
            <w:tcW w:w="6178"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hAnsi="宋体" w:cs="宋体"/>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178"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rPr>
              <w:t>90</w:t>
            </w:r>
            <w:r>
              <w:rPr>
                <w:rFonts w:ascii="宋体" w:hAnsi="宋体"/>
                <w:szCs w:val="21"/>
              </w:rPr>
              <w:t>日历天</w:t>
            </w:r>
            <w:r>
              <w:rPr>
                <w:rFonts w:hint="eastAsia" w:ascii="宋体" w:hAnsi="宋体"/>
                <w:szCs w:val="21"/>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cs="宋体"/>
                <w:color w:val="000000"/>
                <w:szCs w:val="21"/>
              </w:rPr>
              <w:t>14</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178"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15</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178" w:type="dxa"/>
            <w:tcBorders>
              <w:top w:val="single" w:color="auto" w:sz="4" w:space="0"/>
              <w:left w:val="single" w:color="auto" w:sz="4" w:space="0"/>
              <w:bottom w:val="single" w:color="auto" w:sz="4" w:space="0"/>
            </w:tcBorders>
            <w:vAlign w:val="center"/>
          </w:tcPr>
          <w:p>
            <w:pPr>
              <w:pStyle w:val="23"/>
              <w:widowControl/>
              <w:spacing w:line="420" w:lineRule="exact"/>
              <w:jc w:val="both"/>
              <w:rPr>
                <w:rFonts w:ascii="宋体" w:hAnsi="宋体" w:cs="宋体"/>
                <w:sz w:val="21"/>
                <w:szCs w:val="21"/>
              </w:rPr>
            </w:pPr>
            <w:r>
              <w:rPr>
                <w:rFonts w:hint="eastAsia" w:ascii="宋体" w:hAnsi="宋体" w:cs="宋体"/>
                <w:sz w:val="21"/>
                <w:szCs w:val="21"/>
              </w:rPr>
              <w:t>1、提交响应文件截止时间：</w:t>
            </w:r>
            <w:r>
              <w:rPr>
                <w:rFonts w:hint="eastAsia" w:ascii="宋体" w:hAnsi="宋体" w:cs="宋体"/>
                <w:sz w:val="21"/>
                <w:szCs w:val="21"/>
                <w:u w:val="single"/>
                <w:lang w:eastAsia="zh-CN"/>
              </w:rPr>
              <w:t>2023年5月18日9时30分</w:t>
            </w:r>
          </w:p>
          <w:p>
            <w:pPr>
              <w:adjustRightInd w:val="0"/>
              <w:snapToGrid w:val="0"/>
              <w:spacing w:line="420" w:lineRule="exact"/>
              <w:rPr>
                <w:rFonts w:hAnsi="宋体"/>
                <w:b/>
                <w:bCs/>
                <w:szCs w:val="21"/>
              </w:rPr>
            </w:pPr>
            <w:r>
              <w:rPr>
                <w:rFonts w:hint="eastAsia" w:hAnsi="宋体"/>
                <w:b/>
                <w:bCs/>
                <w:szCs w:val="21"/>
              </w:rPr>
              <w:t>2、壹份正本，贰份副本，装在同一密封袋内，密封提交</w:t>
            </w:r>
            <w:r>
              <w:rPr>
                <w:rFonts w:hint="eastAsia" w:hAnsi="宋体" w:cs="宋体"/>
                <w:b/>
                <w:bCs/>
              </w:rPr>
              <w:t>。</w:t>
            </w:r>
          </w:p>
          <w:p>
            <w:pPr>
              <w:pStyle w:val="31"/>
              <w:spacing w:line="420" w:lineRule="exact"/>
              <w:rPr>
                <w:rFonts w:ascii="Times New Roman" w:hAnsi="Times New Roman" w:cs="Times New Roman"/>
                <w:b/>
                <w:bCs/>
              </w:rPr>
            </w:pPr>
            <w:r>
              <w:rPr>
                <w:rFonts w:hint="eastAsia" w:ascii="Times New Roman" w:hAnsi="Times New Roman" w:cs="Times New Roman"/>
                <w:b/>
                <w:bCs/>
              </w:rPr>
              <w:t>3、密封袋上应加盖响应人公章。</w:t>
            </w:r>
          </w:p>
          <w:p>
            <w:pPr>
              <w:pStyle w:val="23"/>
              <w:widowControl/>
              <w:spacing w:line="480" w:lineRule="exact"/>
              <w:jc w:val="both"/>
              <w:rPr>
                <w:rFonts w:ascii="宋体"/>
                <w:szCs w:val="21"/>
              </w:rPr>
            </w:pPr>
            <w:r>
              <w:rPr>
                <w:rFonts w:hint="eastAsia"/>
                <w:sz w:val="21"/>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786"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ascii="宋体" w:hAnsi="宋体"/>
                <w:szCs w:val="21"/>
              </w:rPr>
              <w:t>1</w:t>
            </w:r>
            <w:r>
              <w:rPr>
                <w:rFonts w:hint="eastAsia" w:ascii="宋体" w:hAnsi="宋体"/>
                <w:szCs w:val="21"/>
              </w:rPr>
              <w:t>6</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178"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在安庆市皖宜项目咨询管理有限公司（http://wyxmzx.com/index.html）</w:t>
            </w:r>
            <w:r>
              <w:rPr>
                <w:rFonts w:hint="eastAsia" w:ascii="宋体" w:hAnsi="宋体" w:cs="宋体"/>
                <w:szCs w:val="21"/>
                <w:lang w:eastAsia="zh-CN"/>
              </w:rPr>
              <w:t>安庆皖江高科技投资发展有限公司（http://www.wanjianggaoke.com/）、安庆经济技术开发区管委会（https://aqdz.anqing.gov.cn/）</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17</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时间</w:t>
            </w:r>
            <w:r>
              <w:rPr>
                <w:rFonts w:ascii="宋体" w:hAnsi="宋体"/>
                <w:szCs w:val="21"/>
              </w:rPr>
              <w:t>:</w:t>
            </w:r>
            <w:r>
              <w:rPr>
                <w:rFonts w:hint="eastAsia" w:ascii="宋体" w:hAnsi="宋体" w:cs="宋体"/>
                <w:szCs w:val="21"/>
                <w:u w:val="single"/>
                <w:lang w:eastAsia="zh-CN"/>
              </w:rPr>
              <w:t>2023年5月18日9时30分</w:t>
            </w:r>
          </w:p>
          <w:p>
            <w:pPr>
              <w:spacing w:line="480" w:lineRule="exact"/>
              <w:rPr>
                <w:rFonts w:ascii="宋体"/>
                <w:szCs w:val="21"/>
              </w:rPr>
            </w:pPr>
            <w:r>
              <w:rPr>
                <w:rFonts w:hint="eastAsia" w:ascii="宋体" w:hAnsi="宋体"/>
                <w:szCs w:val="21"/>
              </w:rPr>
              <w:t>地点</w:t>
            </w:r>
            <w:r>
              <w:rPr>
                <w:rFonts w:ascii="宋体" w:hAnsi="宋体"/>
                <w:szCs w:val="21"/>
              </w:rPr>
              <w:t xml:space="preserve">: </w:t>
            </w:r>
            <w:r>
              <w:rPr>
                <w:rFonts w:hint="eastAsia" w:ascii="宋体" w:hAnsi="宋体"/>
                <w:szCs w:val="21"/>
              </w:rPr>
              <w:t>安庆市</w:t>
            </w:r>
            <w:r>
              <w:rPr>
                <w:rFonts w:hint="eastAsia" w:ascii="宋体" w:hAnsi="宋体"/>
                <w:szCs w:val="21"/>
                <w:lang w:val="en-US" w:eastAsia="zh-CN"/>
              </w:rPr>
              <w:t>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18</w:t>
            </w:r>
          </w:p>
        </w:tc>
        <w:tc>
          <w:tcPr>
            <w:tcW w:w="21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19</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履约保证金</w:t>
            </w:r>
          </w:p>
        </w:tc>
        <w:tc>
          <w:tcPr>
            <w:tcW w:w="6178" w:type="dxa"/>
            <w:tcBorders>
              <w:top w:val="single" w:color="auto" w:sz="4" w:space="0"/>
              <w:left w:val="single" w:color="auto" w:sz="4" w:space="0"/>
              <w:bottom w:val="single" w:color="auto" w:sz="4" w:space="0"/>
            </w:tcBorders>
            <w:vAlign w:val="center"/>
          </w:tcPr>
          <w:p>
            <w:pPr>
              <w:spacing w:line="420" w:lineRule="exact"/>
              <w:rPr>
                <w:rFonts w:hint="eastAsia" w:eastAsia="宋体"/>
                <w:szCs w:val="24"/>
                <w:highlight w:val="none"/>
                <w:lang w:eastAsia="zh-CN"/>
              </w:rPr>
            </w:pPr>
            <w:r>
              <w:rPr>
                <w:rFonts w:hint="eastAsia" w:eastAsia="宋体"/>
                <w:szCs w:val="24"/>
                <w:highlight w:val="none"/>
              </w:rPr>
              <w:t>履约保证金金额：成交价的</w:t>
            </w:r>
            <w:r>
              <w:rPr>
                <w:rFonts w:hint="eastAsia" w:eastAsia="宋体"/>
                <w:szCs w:val="24"/>
                <w:highlight w:val="none"/>
                <w:u w:val="single"/>
                <w:lang w:val="en-US" w:eastAsia="zh-CN"/>
              </w:rPr>
              <w:t>2</w:t>
            </w:r>
            <w:r>
              <w:rPr>
                <w:rFonts w:hint="eastAsia" w:eastAsia="宋体"/>
                <w:szCs w:val="24"/>
                <w:highlight w:val="none"/>
              </w:rPr>
              <w:t xml:space="preserve"> %</w:t>
            </w:r>
          </w:p>
          <w:p>
            <w:pPr>
              <w:spacing w:line="420" w:lineRule="exact"/>
              <w:rPr>
                <w:rFonts w:eastAsia="宋体"/>
                <w:szCs w:val="24"/>
                <w:highlight w:val="none"/>
              </w:rPr>
            </w:pPr>
            <w:r>
              <w:rPr>
                <w:rFonts w:hint="eastAsia" w:eastAsia="宋体"/>
                <w:szCs w:val="24"/>
                <w:highlight w:val="none"/>
              </w:rPr>
              <w:t>履约保证金的形式：支票、汇票、本票、银行保函等非现金的形式。（如为银行保函，出具履约担保的银行必须为中国银行、中国工商银行、中国农业银行、中国建设银行、中国邮政储蓄银行、交通银行或</w:t>
            </w:r>
            <w:r>
              <w:rPr>
                <w:rFonts w:hint="eastAsia" w:eastAsia="宋体"/>
                <w:szCs w:val="24"/>
                <w:highlight w:val="none"/>
                <w:lang w:eastAsia="zh-CN"/>
              </w:rPr>
              <w:t>磋商</w:t>
            </w:r>
            <w:r>
              <w:rPr>
                <w:rFonts w:hint="eastAsia" w:eastAsia="宋体"/>
                <w:szCs w:val="24"/>
                <w:highlight w:val="none"/>
              </w:rPr>
              <w:t>响应人基本账户开户行开具的不可撤销的银行保函）。</w:t>
            </w:r>
          </w:p>
          <w:p>
            <w:pPr>
              <w:spacing w:line="420" w:lineRule="exact"/>
              <w:rPr>
                <w:rFonts w:hint="default" w:ascii="宋体" w:eastAsia="宋体"/>
                <w:szCs w:val="21"/>
                <w:lang w:val="en-US" w:eastAsia="zh-CN"/>
              </w:rPr>
            </w:pPr>
            <w:r>
              <w:rPr>
                <w:rFonts w:hint="eastAsia" w:eastAsia="宋体"/>
                <w:szCs w:val="24"/>
                <w:highlight w:val="none"/>
              </w:rPr>
              <w:t>履约保证金的提交：成交人在合同签订前按照竞争性</w:t>
            </w:r>
            <w:r>
              <w:rPr>
                <w:rFonts w:hint="eastAsia" w:eastAsia="宋体"/>
                <w:szCs w:val="24"/>
                <w:highlight w:val="none"/>
                <w:lang w:eastAsia="zh-CN"/>
              </w:rPr>
              <w:t>磋商</w:t>
            </w:r>
            <w:r>
              <w:rPr>
                <w:rFonts w:hint="eastAsia" w:eastAsia="宋体"/>
                <w:szCs w:val="24"/>
                <w:highlight w:val="none"/>
              </w:rPr>
              <w:t>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r>
              <w:rPr>
                <w:rFonts w:hint="eastAsia" w:ascii="宋体" w:hAnsi="宋体"/>
                <w:szCs w:val="21"/>
              </w:rPr>
              <w:t>0</w:t>
            </w:r>
          </w:p>
        </w:tc>
        <w:tc>
          <w:tcPr>
            <w:tcW w:w="21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cs="宋体"/>
                <w:szCs w:val="21"/>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21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付款方式</w:t>
            </w:r>
          </w:p>
        </w:tc>
        <w:tc>
          <w:tcPr>
            <w:tcW w:w="6178" w:type="dxa"/>
            <w:tcBorders>
              <w:top w:val="single" w:color="auto" w:sz="4" w:space="0"/>
              <w:left w:val="single" w:color="auto" w:sz="4" w:space="0"/>
              <w:bottom w:val="single" w:color="auto" w:sz="4" w:space="0"/>
            </w:tcBorders>
            <w:vAlign w:val="center"/>
          </w:tcPr>
          <w:p>
            <w:pPr>
              <w:spacing w:line="480" w:lineRule="exact"/>
              <w:rPr>
                <w:rFonts w:hint="eastAsia" w:ascii="宋体" w:eastAsia="宋体"/>
                <w:szCs w:val="21"/>
                <w:lang w:val="en-US" w:eastAsia="zh-CN"/>
              </w:rPr>
            </w:pPr>
            <w:r>
              <w:rPr>
                <w:rFonts w:hint="eastAsia" w:ascii="宋体"/>
                <w:szCs w:val="21"/>
              </w:rPr>
              <w:t>验收合格后付合同总价的85%，余款三年内每年支付合同总价的5%（如有违约金则相应扣除）</w:t>
            </w:r>
            <w:r>
              <w:rPr>
                <w:rFonts w:hint="eastAsia" w:ascii="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22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本磋商文件的解释权归采购单位。</w:t>
            </w:r>
          </w:p>
        </w:tc>
      </w:tr>
    </w:tbl>
    <w:p>
      <w:pPr>
        <w:rPr>
          <w:rFonts w:ascii="宋体" w:hAnsi="宋体"/>
          <w:kern w:val="0"/>
          <w:lang w:val="zh-CN"/>
        </w:rPr>
      </w:pPr>
      <w:bookmarkStart w:id="42" w:name="_Toc439316872"/>
    </w:p>
    <w:p>
      <w:pPr>
        <w:pStyle w:val="3"/>
        <w:tabs>
          <w:tab w:val="clear" w:pos="1440"/>
          <w:tab w:val="clear" w:pos="5670"/>
        </w:tabs>
        <w:spacing w:beforeLines="0" w:afterLines="0"/>
        <w:ind w:firstLine="0" w:firstLineChars="0"/>
        <w:jc w:val="center"/>
        <w:rPr>
          <w:rFonts w:ascii="宋体" w:hAnsi="宋体" w:eastAsia="宋体" w:cs="Tahoma"/>
          <w:bCs/>
          <w:kern w:val="0"/>
          <w:sz w:val="32"/>
          <w:szCs w:val="32"/>
          <w:lang w:val="zh-CN"/>
        </w:rPr>
      </w:pPr>
      <w:bookmarkStart w:id="43" w:name="_Toc20486"/>
      <w:r>
        <w:rPr>
          <w:rFonts w:hint="eastAsia" w:ascii="宋体" w:hAnsi="宋体" w:eastAsia="宋体" w:cs="Tahoma"/>
          <w:bCs/>
          <w:kern w:val="0"/>
          <w:sz w:val="32"/>
          <w:szCs w:val="32"/>
          <w:lang w:val="zh-CN"/>
        </w:rPr>
        <w:t>第二节</w:t>
      </w:r>
      <w:r>
        <w:rPr>
          <w:rFonts w:ascii="宋体" w:hAnsi="宋体" w:eastAsia="宋体" w:cs="Tahoma"/>
          <w:bCs/>
          <w:kern w:val="0"/>
          <w:sz w:val="32"/>
          <w:szCs w:val="32"/>
          <w:lang w:val="zh-CN"/>
        </w:rPr>
        <w:t xml:space="preserve"> </w:t>
      </w:r>
      <w:r>
        <w:rPr>
          <w:rFonts w:hint="eastAsia" w:ascii="宋体" w:hAnsi="宋体" w:eastAsia="宋体" w:cs="Tahoma"/>
          <w:bCs/>
          <w:kern w:val="0"/>
          <w:sz w:val="32"/>
          <w:szCs w:val="32"/>
          <w:lang w:val="zh-CN"/>
        </w:rPr>
        <w:t>竞争性磋商须知</w:t>
      </w:r>
      <w:bookmarkEnd w:id="42"/>
      <w:bookmarkEnd w:id="43"/>
    </w:p>
    <w:p>
      <w:pPr>
        <w:autoSpaceDE w:val="0"/>
        <w:autoSpaceDN w:val="0"/>
        <w:adjustRightInd w:val="0"/>
        <w:snapToGrid w:val="0"/>
        <w:spacing w:line="480" w:lineRule="exact"/>
        <w:ind w:firstLine="420"/>
        <w:outlineLvl w:val="2"/>
        <w:rPr>
          <w:rFonts w:ascii="宋体"/>
          <w:b/>
          <w:bCs/>
          <w:szCs w:val="21"/>
          <w:lang w:val="zh-CN"/>
        </w:rPr>
      </w:pPr>
      <w:bookmarkStart w:id="44" w:name="_Toc18383"/>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44"/>
    </w:p>
    <w:p>
      <w:pPr>
        <w:spacing w:line="540" w:lineRule="exact"/>
        <w:ind w:firstLine="420" w:firstLineChars="200"/>
        <w:rPr>
          <w:rFonts w:ascii="宋体" w:hAnsi="宋体"/>
          <w:szCs w:val="21"/>
          <w:lang w:val="zh-CN"/>
        </w:rPr>
      </w:pPr>
      <w:bookmarkStart w:id="45" w:name="_Toc21078"/>
      <w:bookmarkStart w:id="46" w:name="_Toc15055"/>
      <w:bookmarkStart w:id="47" w:name="_Toc10523"/>
      <w:bookmarkStart w:id="48" w:name="_Toc25270"/>
      <w:bookmarkStart w:id="49" w:name="_Toc439316919"/>
      <w:bookmarkStart w:id="50" w:name="_Toc7325"/>
      <w:bookmarkStart w:id="51" w:name="_Toc439316873"/>
      <w:r>
        <w:rPr>
          <w:rFonts w:ascii="宋体" w:hAnsi="宋体"/>
          <w:szCs w:val="21"/>
          <w:lang w:val="zh-CN"/>
        </w:rPr>
        <w:t>1</w:t>
      </w:r>
      <w:r>
        <w:rPr>
          <w:rFonts w:hint="eastAsia" w:ascii="宋体" w:hAnsi="宋体"/>
          <w:szCs w:val="21"/>
          <w:lang w:val="zh-CN"/>
        </w:rPr>
        <w:t>、适用法律</w:t>
      </w:r>
      <w:bookmarkEnd w:id="45"/>
      <w:bookmarkEnd w:id="46"/>
      <w:bookmarkEnd w:id="47"/>
      <w:bookmarkEnd w:id="48"/>
      <w:bookmarkEnd w:id="49"/>
      <w:bookmarkEnd w:id="50"/>
      <w:bookmarkEnd w:id="51"/>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rPr>
        <w:t>参照</w:t>
      </w:r>
      <w:r>
        <w:rPr>
          <w:rFonts w:hint="eastAsia" w:ascii="宋体" w:hAnsi="宋体"/>
          <w:szCs w:val="21"/>
          <w:lang w:val="zh-CN"/>
        </w:rPr>
        <w:t>《</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52" w:name="_Toc10933"/>
      <w:bookmarkStart w:id="53" w:name="_Toc439316920"/>
      <w:bookmarkStart w:id="54" w:name="_Toc1704"/>
      <w:bookmarkStart w:id="55" w:name="_Toc27113"/>
      <w:bookmarkStart w:id="56" w:name="_Toc439316874"/>
      <w:bookmarkStart w:id="57" w:name="_Toc24643"/>
      <w:bookmarkStart w:id="58" w:name="_Toc8228"/>
      <w:r>
        <w:rPr>
          <w:rFonts w:ascii="宋体" w:hAnsi="宋体"/>
          <w:szCs w:val="21"/>
          <w:lang w:val="zh-CN"/>
        </w:rPr>
        <w:t>2</w:t>
      </w:r>
      <w:r>
        <w:rPr>
          <w:rFonts w:hint="eastAsia" w:ascii="宋体" w:hAnsi="宋体"/>
          <w:szCs w:val="21"/>
          <w:lang w:val="zh-CN"/>
        </w:rPr>
        <w:t>、定义</w:t>
      </w:r>
      <w:bookmarkEnd w:id="52"/>
      <w:bookmarkEnd w:id="53"/>
      <w:bookmarkEnd w:id="54"/>
      <w:bookmarkEnd w:id="55"/>
      <w:bookmarkEnd w:id="56"/>
      <w:bookmarkEnd w:id="57"/>
      <w:bookmarkEnd w:id="58"/>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、采购单位是指采购人和采购代理机构。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4、供应商必须确保自己信息真实、准确，否则，供应商因此蒙受损失，采购单位概不负责。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hint="eastAsia" w:ascii="宋体" w:hAnsi="宋体"/>
          <w:b/>
          <w:bCs/>
          <w:szCs w:val="21"/>
        </w:rPr>
        <w:t>踏勘现场</w:t>
      </w:r>
      <w:r>
        <w:rPr>
          <w:rFonts w:hint="eastAsia" w:ascii="宋体" w:hAnsi="宋体"/>
          <w:szCs w:val="21"/>
        </w:rPr>
        <w:t>：供应商自行踏勘现场。供应商应认真对现场环境进行踏勘，对项目环境和影响等素，做出理性的判断和估价。成交后签订合同时和提供服务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59" w:name="_Toc439316921"/>
      <w:bookmarkStart w:id="60" w:name="_Toc439316875"/>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59"/>
      <w:bookmarkEnd w:id="60"/>
    </w:p>
    <w:p>
      <w:pPr>
        <w:autoSpaceDE w:val="0"/>
        <w:autoSpaceDN w:val="0"/>
        <w:adjustRightInd w:val="0"/>
        <w:snapToGrid w:val="0"/>
        <w:spacing w:line="480" w:lineRule="exact"/>
        <w:ind w:firstLine="420"/>
        <w:outlineLvl w:val="2"/>
        <w:rPr>
          <w:rFonts w:ascii="宋体"/>
          <w:b/>
          <w:bCs/>
          <w:szCs w:val="21"/>
          <w:lang w:val="zh-CN"/>
        </w:rPr>
      </w:pPr>
      <w:bookmarkStart w:id="61" w:name="_Toc12803"/>
      <w:r>
        <w:rPr>
          <w:rFonts w:hint="eastAsia" w:ascii="宋体" w:hAnsi="宋体"/>
          <w:b/>
          <w:bCs/>
          <w:szCs w:val="21"/>
          <w:lang w:val="zh-CN"/>
        </w:rPr>
        <w:t>二、磋商文件</w:t>
      </w:r>
      <w:bookmarkEnd w:id="61"/>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rPr>
        <w:t xml:space="preserve"> 货物需求及技术要求；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）第五章</w:t>
      </w:r>
      <w:r>
        <w:rPr>
          <w:rFonts w:ascii="宋体" w:hAnsi="宋体"/>
          <w:szCs w:val="21"/>
        </w:rPr>
        <w:t xml:space="preserve">  </w:t>
      </w:r>
      <w:r>
        <w:rPr>
          <w:rFonts w:hint="eastAsia"/>
          <w:szCs w:val="21"/>
        </w:rPr>
        <w:t>响应文件格式</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3 </w:t>
      </w:r>
      <w:r>
        <w:rPr>
          <w:rFonts w:hint="eastAsia" w:ascii="宋体" w:hAnsi="宋体"/>
          <w:szCs w:val="21"/>
        </w:rPr>
        <w:t>日内向采购单位提出</w:t>
      </w:r>
      <w:r>
        <w:rPr>
          <w:rFonts w:hint="eastAsia" w:ascii="宋体" w:hAnsi="宋体" w:cs="宋体"/>
          <w:szCs w:val="21"/>
        </w:rPr>
        <w:t>并将问题发送至邮箱</w:t>
      </w:r>
      <w:r>
        <w:rPr>
          <w:rFonts w:hint="eastAsia" w:ascii="宋体" w:hAnsi="宋体" w:cs="宋体"/>
          <w:szCs w:val="21"/>
          <w:lang w:eastAsia="zh-CN"/>
        </w:rPr>
        <w:t>3050346988@qq.com</w:t>
      </w:r>
      <w:r>
        <w:rPr>
          <w:rFonts w:hint="eastAsia" w:ascii="宋体" w:hAnsi="宋体" w:cs="宋体"/>
          <w:szCs w:val="21"/>
        </w:rPr>
        <w:t>，</w:t>
      </w:r>
      <w:r>
        <w:rPr>
          <w:rFonts w:hint="eastAsia" w:ascii="宋体" w:hAnsi="宋体"/>
          <w:szCs w:val="21"/>
        </w:rPr>
        <w:t>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rPr>
      </w:pPr>
      <w:r>
        <w:rPr>
          <w:rFonts w:ascii="宋体" w:hAnsi="宋体"/>
          <w:szCs w:val="21"/>
        </w:rPr>
        <w:t>8.1</w:t>
      </w:r>
      <w:r>
        <w:rPr>
          <w:rFonts w:hint="eastAsia" w:ascii="宋体" w:hAnsi="宋体"/>
          <w:szCs w:val="21"/>
        </w:rPr>
        <w:t>、供应商可以要求采购单位对磋商文件中的有关问题进行答疑或澄清。</w:t>
      </w:r>
    </w:p>
    <w:p>
      <w:pPr>
        <w:spacing w:line="540" w:lineRule="exact"/>
        <w:ind w:firstLine="420" w:firstLineChars="200"/>
        <w:rPr>
          <w:rFonts w:ascii="宋体"/>
          <w:szCs w:val="21"/>
        </w:rPr>
      </w:pPr>
      <w:r>
        <w:rPr>
          <w:rFonts w:ascii="宋体" w:hAnsi="宋体"/>
          <w:szCs w:val="21"/>
        </w:rPr>
        <w:t>8.2</w:t>
      </w:r>
      <w:r>
        <w:rPr>
          <w:rFonts w:hint="eastAsia" w:ascii="宋体" w:hAnsi="宋体"/>
          <w:szCs w:val="21"/>
        </w:rPr>
        <w:t>、供应商对磋商文件如有质疑，应在响应文件提交截止时间</w:t>
      </w:r>
      <w:r>
        <w:rPr>
          <w:rFonts w:ascii="宋体" w:hAnsi="宋体"/>
          <w:szCs w:val="21"/>
        </w:rPr>
        <w:t>2</w:t>
      </w:r>
      <w:r>
        <w:rPr>
          <w:rFonts w:hint="eastAsia" w:ascii="宋体" w:hAnsi="宋体"/>
          <w:szCs w:val="21"/>
        </w:rPr>
        <w:t>个工作日前</w:t>
      </w:r>
      <w:r>
        <w:rPr>
          <w:rFonts w:hint="eastAsia" w:ascii="宋体" w:hAnsi="宋体" w:cs="宋体"/>
          <w:szCs w:val="21"/>
        </w:rPr>
        <w:t>向采购单位提出并将问题发送至邮箱</w:t>
      </w:r>
      <w:r>
        <w:rPr>
          <w:rFonts w:hint="eastAsia" w:ascii="宋体" w:hAnsi="宋体" w:cs="宋体"/>
          <w:szCs w:val="21"/>
          <w:lang w:eastAsia="zh-CN"/>
        </w:rPr>
        <w:t>3050346988@qq.com</w:t>
      </w:r>
      <w:r>
        <w:rPr>
          <w:rFonts w:hint="eastAsia" w:ascii="宋体" w:hAnsi="宋体" w:cs="宋体"/>
          <w:szCs w:val="21"/>
        </w:rPr>
        <w:t>。</w:t>
      </w:r>
    </w:p>
    <w:p>
      <w:pPr>
        <w:spacing w:line="540" w:lineRule="exact"/>
        <w:ind w:firstLine="420" w:firstLineChars="200"/>
        <w:rPr>
          <w:rFonts w:ascii="宋体"/>
          <w:szCs w:val="21"/>
        </w:rPr>
      </w:pPr>
      <w:r>
        <w:rPr>
          <w:rFonts w:ascii="宋体" w:hAnsi="宋体"/>
          <w:szCs w:val="21"/>
        </w:rPr>
        <w:t>8.3</w:t>
      </w:r>
      <w:r>
        <w:rPr>
          <w:rFonts w:hint="eastAsia" w:ascii="宋体" w:hAnsi="宋体"/>
          <w:szCs w:val="21"/>
        </w:rPr>
        <w:t>、如果供应商未在约定的时间内对磋商文件有关条款提出质疑，视为充分理解磋商文件所有内容，一旦提交响应文件，则认为该供应商接受磋商文件的所有条款。</w:t>
      </w:r>
    </w:p>
    <w:p>
      <w:pPr>
        <w:spacing w:line="540" w:lineRule="exact"/>
        <w:ind w:firstLine="420" w:firstLineChars="200"/>
        <w:rPr>
          <w:rFonts w:ascii="宋体"/>
          <w:szCs w:val="21"/>
        </w:rPr>
      </w:pPr>
      <w:r>
        <w:rPr>
          <w:rFonts w:ascii="宋体" w:hAnsi="宋体"/>
          <w:szCs w:val="21"/>
        </w:rPr>
        <w:t>8.4</w:t>
      </w:r>
      <w:r>
        <w:rPr>
          <w:rFonts w:hint="eastAsia" w:ascii="宋体" w:hAnsi="宋体"/>
          <w:szCs w:val="21"/>
        </w:rPr>
        <w:t>、采购单位对在约定时间收到的、且需要做出澄清的问题，将以本须知所述方式进行答复，但不说明问题的来源。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rPr>
      </w:pPr>
      <w:r>
        <w:rPr>
          <w:rFonts w:ascii="宋体" w:hAnsi="宋体"/>
          <w:szCs w:val="21"/>
        </w:rPr>
        <w:t>9.2</w:t>
      </w:r>
      <w:r>
        <w:rPr>
          <w:rFonts w:hint="eastAsia" w:ascii="宋体" w:hAnsi="宋体"/>
          <w:szCs w:val="21"/>
        </w:rPr>
        <w:t>、采购单位对供应商质疑的答复和对磋商文件的澄清、修改、补充说明等内容</w:t>
      </w:r>
      <w:r>
        <w:rPr>
          <w:rFonts w:hint="eastAsia" w:ascii="宋体" w:hAnsi="宋体"/>
          <w:b/>
          <w:bCs/>
          <w:szCs w:val="21"/>
        </w:rPr>
        <w:t>均通过安庆市皖宜咨询管理有限公司（http://www.wyxmzx.com/）和</w:t>
      </w:r>
      <w:r>
        <w:rPr>
          <w:rFonts w:hint="eastAsia" w:ascii="宋体" w:hAnsi="宋体"/>
          <w:b/>
          <w:bCs/>
          <w:szCs w:val="21"/>
          <w:lang w:eastAsia="zh-CN"/>
        </w:rPr>
        <w:t>安庆皖江高科技投资发展有限公司（http://www.wanjianggaoke.com/）、安庆经济技术开发区管委会（https://aqdz.anqing.gov.cn/）</w:t>
      </w:r>
      <w:r>
        <w:rPr>
          <w:rFonts w:hint="eastAsia" w:ascii="宋体" w:hAnsi="宋体" w:cs="宋体"/>
          <w:b/>
          <w:bCs/>
          <w:szCs w:val="21"/>
        </w:rPr>
        <w:t>发布</w:t>
      </w:r>
      <w:r>
        <w:rPr>
          <w:rFonts w:hint="eastAsia" w:ascii="宋体" w:hAnsi="宋体"/>
          <w:b/>
          <w:bCs/>
          <w:szCs w:val="21"/>
        </w:rPr>
        <w:t>，该修改内容作为磋商文件的组成部分，具有约束作用</w:t>
      </w:r>
      <w:r>
        <w:rPr>
          <w:rFonts w:hint="eastAsia" w:ascii="宋体" w:hAnsi="宋体"/>
          <w:szCs w:val="21"/>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jc w:val="left"/>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szCs w:val="21"/>
          <w:lang w:eastAsia="zh-CN"/>
        </w:rPr>
        <w:t>安庆皖江高科技投资发展有限公司（http://www.wanjianggaoke.com/）、安庆经济技术开发区管委会（https://aqdz.anqing.gov.cn/）</w:t>
      </w:r>
      <w:r>
        <w:rPr>
          <w:rFonts w:hint="eastAsia" w:ascii="宋体" w:hAnsi="宋体" w:cs="宋体"/>
          <w:szCs w:val="21"/>
        </w:rPr>
        <w:t>、安庆市皖宜项目咨询管理有限公司网站发布</w:t>
      </w:r>
      <w:r>
        <w:rPr>
          <w:rFonts w:hint="eastAsia" w:ascii="宋体" w:hAnsi="宋体"/>
          <w:szCs w:val="21"/>
        </w:rPr>
        <w:t>。</w:t>
      </w:r>
    </w:p>
    <w:p>
      <w:pPr>
        <w:autoSpaceDE w:val="0"/>
        <w:autoSpaceDN w:val="0"/>
        <w:adjustRightInd w:val="0"/>
        <w:snapToGrid w:val="0"/>
        <w:spacing w:line="480" w:lineRule="exact"/>
        <w:ind w:firstLine="420"/>
        <w:outlineLvl w:val="2"/>
        <w:rPr>
          <w:rFonts w:ascii="宋体" w:hAnsi="宋体"/>
          <w:b/>
          <w:bCs/>
          <w:szCs w:val="21"/>
          <w:lang w:val="zh-CN"/>
        </w:rPr>
      </w:pPr>
      <w:bookmarkStart w:id="62" w:name="_Toc31936"/>
      <w:bookmarkStart w:id="63" w:name="_Toc24744"/>
      <w:r>
        <w:rPr>
          <w:rFonts w:hint="eastAsia" w:ascii="宋体" w:hAnsi="宋体"/>
          <w:b/>
          <w:bCs/>
          <w:szCs w:val="21"/>
        </w:rPr>
        <w:t>三、</w:t>
      </w:r>
      <w:r>
        <w:rPr>
          <w:rFonts w:hint="eastAsia" w:ascii="宋体" w:hAnsi="宋体"/>
          <w:b/>
          <w:bCs/>
          <w:szCs w:val="21"/>
          <w:lang w:val="zh-CN"/>
        </w:rPr>
        <w:t>响应文件编制</w:t>
      </w:r>
      <w:bookmarkEnd w:id="62"/>
      <w:bookmarkEnd w:id="63"/>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5"/>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hAnsi="宋体" w:cs="宋体"/>
          <w:szCs w:val="21"/>
        </w:rPr>
      </w:pPr>
      <w:r>
        <w:rPr>
          <w:rFonts w:ascii="宋体" w:hAnsi="宋体" w:cs="宋体"/>
          <w:szCs w:val="21"/>
        </w:rPr>
        <w:t>12.1</w:t>
      </w:r>
      <w:r>
        <w:rPr>
          <w:rFonts w:hint="eastAsia" w:ascii="宋体" w:hAnsi="宋体" w:cs="宋体"/>
          <w:szCs w:val="21"/>
        </w:rPr>
        <w:t>、响应文件的</w:t>
      </w:r>
      <w:r>
        <w:rPr>
          <w:rFonts w:hint="eastAsia" w:ascii="宋体" w:hAnsi="宋体" w:cs="宋体"/>
          <w:szCs w:val="21"/>
          <w:lang w:eastAsia="zh-CN"/>
        </w:rPr>
        <w:t>货物</w:t>
      </w:r>
      <w:r>
        <w:rPr>
          <w:rFonts w:hint="eastAsia" w:ascii="宋体" w:hAnsi="宋体" w:cs="宋体"/>
          <w:szCs w:val="21"/>
        </w:rPr>
        <w:t>报价表上应清楚地标明供应商拟提供货物的名称、价格等内容。</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ascii="宋体" w:hAnsi="宋体" w:cs="宋体"/>
          <w:szCs w:val="21"/>
        </w:rPr>
      </w:pPr>
      <w:r>
        <w:rPr>
          <w:rFonts w:ascii="宋体" w:hAnsi="宋体" w:cs="宋体"/>
          <w:szCs w:val="21"/>
        </w:rPr>
        <w:t>12.3</w:t>
      </w:r>
      <w:r>
        <w:rPr>
          <w:rFonts w:hint="eastAsia" w:ascii="宋体" w:hAnsi="宋体" w:cs="宋体"/>
          <w:szCs w:val="21"/>
        </w:rPr>
        <w:t>、供应商的</w:t>
      </w:r>
      <w:r>
        <w:rPr>
          <w:rFonts w:hint="eastAsia" w:ascii="宋体" w:hAnsi="宋体"/>
          <w:szCs w:val="21"/>
        </w:rPr>
        <w:t>报价应包含满足本次采购需求的所有费用（包括但不限于：</w:t>
      </w:r>
      <w:r>
        <w:rPr>
          <w:rFonts w:hint="eastAsia" w:ascii="宋体" w:hAnsi="宋体" w:cs="宋体"/>
          <w:szCs w:val="21"/>
        </w:rPr>
        <w:t>人工费、材</w:t>
      </w:r>
    </w:p>
    <w:p>
      <w:pPr>
        <w:spacing w:line="360" w:lineRule="auto"/>
        <w:rPr>
          <w:rFonts w:ascii="宋体" w:cs="宋体"/>
          <w:szCs w:val="21"/>
        </w:rPr>
      </w:pPr>
      <w:r>
        <w:rPr>
          <w:rFonts w:hint="eastAsia" w:ascii="宋体" w:hAnsi="宋体" w:cs="宋体"/>
          <w:szCs w:val="21"/>
        </w:rPr>
        <w:t>料费、交通费、培训费、印刷费、管理费、保险、税金等）。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w:t>
      </w:r>
      <w:r>
        <w:rPr>
          <w:rFonts w:hint="eastAsia" w:ascii="宋体" w:hAnsi="宋体" w:cs="宋体"/>
          <w:szCs w:val="21"/>
          <w:lang w:eastAsia="zh-CN"/>
        </w:rPr>
        <w:t>磋商限价</w:t>
      </w:r>
      <w:r>
        <w:rPr>
          <w:rFonts w:hint="eastAsia" w:ascii="宋体" w:hAnsi="宋体" w:cs="宋体"/>
          <w:szCs w:val="21"/>
        </w:rPr>
        <w:t>高于</w:t>
      </w:r>
      <w:r>
        <w:rPr>
          <w:rFonts w:hint="eastAsia" w:ascii="宋体" w:hAnsi="宋体" w:cs="宋体"/>
          <w:szCs w:val="21"/>
          <w:lang w:eastAsia="zh-CN"/>
        </w:rPr>
        <w:t>最高磋商限价</w:t>
      </w:r>
      <w:r>
        <w:rPr>
          <w:rFonts w:hint="eastAsia" w:ascii="宋体" w:hAnsi="宋体" w:cs="宋体"/>
          <w:szCs w:val="21"/>
        </w:rPr>
        <w:t>为无效报价。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12.5、磋商响应文件内容不一致的确认。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.5.1、磋商响应文件中磋商响应函(磋商报价)与磋商响应文件中相应内容不一致的,以磋商响应函(磋商报价)为准；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2、若大写金额和小写金额不一致的，以大写金额为准；</w:t>
      </w:r>
    </w:p>
    <w:p>
      <w:pPr>
        <w:spacing w:line="360" w:lineRule="auto"/>
        <w:ind w:firstLine="420" w:firstLineChars="200"/>
        <w:rPr>
          <w:rFonts w:ascii="宋体" w:hAnsi="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3、</w:t>
      </w:r>
      <w:r>
        <w:rPr>
          <w:rFonts w:hint="eastAsia" w:ascii="宋体" w:hAnsi="宋体"/>
          <w:color w:val="000000"/>
          <w:szCs w:val="21"/>
        </w:rPr>
        <w:t>单价金额小数点或者百分比有明显错位的，应以磋商响应函(谈判响应报价)为准，并修正单价；</w:t>
      </w:r>
    </w:p>
    <w:p>
      <w:pPr>
        <w:spacing w:line="360" w:lineRule="auto"/>
        <w:ind w:firstLine="420" w:firstLineChars="200"/>
        <w:rPr>
          <w:rFonts w:ascii="宋体" w:hAnsi="宋体"/>
          <w:color w:val="000000"/>
          <w:szCs w:val="21"/>
        </w:rPr>
      </w:pPr>
      <w:r>
        <w:rPr>
          <w:rFonts w:hint="eastAsia" w:ascii="宋体" w:hAnsi="宋体"/>
          <w:color w:val="000000"/>
          <w:szCs w:val="21"/>
        </w:rPr>
        <w:t>同时出现两种以上不一致的，按照以上规定的顺序修正。修正后的报价应当采用书面形式，并加盖公章或者由法定代表人或其委托代理人签字,但不得超出</w:t>
      </w:r>
      <w:r>
        <w:rPr>
          <w:rFonts w:hint="eastAsia" w:ascii="宋体" w:hAnsi="宋体"/>
          <w:color w:val="000000"/>
          <w:szCs w:val="21"/>
          <w:lang w:eastAsia="zh-CN"/>
        </w:rPr>
        <w:t>磋商</w:t>
      </w:r>
      <w:r>
        <w:rPr>
          <w:rFonts w:hint="eastAsia" w:ascii="宋体" w:hAnsi="宋体"/>
          <w:color w:val="000000"/>
          <w:szCs w:val="21"/>
        </w:rPr>
        <w:t>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hAnsi="宋体" w:cs="宋体"/>
          <w:b/>
          <w:szCs w:val="21"/>
        </w:rPr>
      </w:pPr>
      <w:r>
        <w:rPr>
          <w:rFonts w:hint="eastAsia" w:ascii="宋体" w:hAnsi="宋体" w:cs="宋体"/>
          <w:b/>
          <w:szCs w:val="21"/>
        </w:rPr>
        <w:t>14、磋商响应保证金：本项目不收取</w:t>
      </w:r>
    </w:p>
    <w:p>
      <w:pPr>
        <w:spacing w:line="360" w:lineRule="auto"/>
        <w:ind w:firstLine="420" w:firstLineChars="200"/>
        <w:rPr>
          <w:rFonts w:ascii="宋体" w:hAnsi="宋体"/>
          <w:szCs w:val="21"/>
        </w:rPr>
      </w:pPr>
      <w:r>
        <w:rPr>
          <w:rFonts w:hint="eastAsia" w:ascii="宋体" w:hAnsi="宋体"/>
          <w:szCs w:val="21"/>
        </w:rPr>
        <w:t>14.1、有下列情形之一的，视为供应商串通投标，其磋商响应无效：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w:t>
      </w:r>
      <w:r>
        <w:rPr>
          <w:rFonts w:hint="eastAsia" w:ascii="宋体" w:hAnsi="宋体" w:cs="宋体"/>
          <w:szCs w:val="21"/>
        </w:rPr>
        <w:t>2、</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hint="eastAsia" w:ascii="宋体" w:hAnsi="宋体" w:eastAsia="宋体"/>
          <w:szCs w:val="21"/>
          <w:lang w:eastAsia="zh-CN"/>
        </w:rPr>
      </w:pPr>
      <w:r>
        <w:rPr>
          <w:rFonts w:hint="eastAsia"/>
        </w:rPr>
        <w:t>（2）</w:t>
      </w:r>
      <w:r>
        <w:rPr>
          <w:rFonts w:hint="eastAsia" w:ascii="宋体" w:hAnsi="宋体"/>
          <w:szCs w:val="21"/>
        </w:rPr>
        <w:t>在签订合同时向采购人提出附加条件</w:t>
      </w:r>
      <w:r>
        <w:rPr>
          <w:rFonts w:hint="eastAsia" w:ascii="宋体" w:hAnsi="宋体"/>
          <w:szCs w:val="21"/>
          <w:lang w:eastAsia="zh-CN"/>
        </w:rPr>
        <w:t>；</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（5）供应商以向采购人或者磋商小组成员行贿的手段谋取成交的；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（7）违法与采购人就磋商价格、供货及响应技术方案等实质性内容进行磋商，影响成交结果的；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1"/>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、响应文件应由供应商的法定代表人或委托代理人签署，并加盖供应商公章。</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响应文件不得行间插字、涂改或增删。如有修改错漏处，必须由供应商的法定代表人或委托代理人签字，并加盖供应商公章。</w:t>
      </w:r>
    </w:p>
    <w:p>
      <w:pPr>
        <w:spacing w:line="360" w:lineRule="auto"/>
        <w:ind w:firstLine="420" w:firstLineChars="200"/>
        <w:rPr>
          <w:rFonts w:hAnsi="宋体" w:cs="宋体"/>
          <w:spacing w:val="-2"/>
        </w:rPr>
      </w:pPr>
      <w:r>
        <w:rPr>
          <w:rFonts w:ascii="宋体" w:hAnsi="宋体" w:cs="宋体"/>
          <w:szCs w:val="21"/>
        </w:rPr>
        <w:t>16.4</w:t>
      </w:r>
      <w:r>
        <w:rPr>
          <w:rFonts w:hint="eastAsia" w:ascii="宋体" w:hAnsi="宋体" w:cs="宋体"/>
          <w:szCs w:val="21"/>
        </w:rPr>
        <w:t>、</w:t>
      </w:r>
      <w:bookmarkStart w:id="64" w:name="_Toc476584424"/>
      <w:r>
        <w:rPr>
          <w:rFonts w:hint="eastAsia" w:hAnsi="宋体" w:cs="宋体"/>
          <w:b/>
        </w:rPr>
        <w:t>响应文件封面、磋商响应函</w:t>
      </w:r>
      <w:r>
        <w:rPr>
          <w:rFonts w:hint="eastAsia" w:hAnsi="宋体" w:cs="宋体"/>
          <w:b/>
          <w:spacing w:val="-2"/>
        </w:rPr>
        <w:t>、</w:t>
      </w:r>
      <w:r>
        <w:rPr>
          <w:rFonts w:hint="eastAsia" w:hAnsi="宋体" w:cs="宋体"/>
          <w:b/>
          <w:spacing w:val="-2"/>
          <w:lang w:eastAsia="zh-CN"/>
        </w:rPr>
        <w:t>货物</w:t>
      </w:r>
      <w:r>
        <w:rPr>
          <w:rFonts w:hint="eastAsia" w:hAnsi="宋体" w:cs="宋体"/>
          <w:b/>
          <w:spacing w:val="-2"/>
        </w:rPr>
        <w:t>报价表、最后报价表、</w:t>
      </w:r>
      <w:r>
        <w:rPr>
          <w:rFonts w:hint="eastAsia" w:hAnsi="宋体" w:cs="宋体"/>
          <w:b/>
          <w:spacing w:val="-2"/>
          <w:lang w:eastAsia="zh-CN"/>
        </w:rPr>
        <w:t>货物</w:t>
      </w:r>
      <w:r>
        <w:rPr>
          <w:rFonts w:hint="eastAsia" w:hAnsi="宋体" w:cs="宋体"/>
          <w:b/>
          <w:spacing w:val="-2"/>
        </w:rPr>
        <w:t>内容及质量要求响应表</w:t>
      </w:r>
      <w:r>
        <w:rPr>
          <w:rFonts w:hint="eastAsia" w:hAnsi="宋体" w:cs="宋体"/>
          <w:b/>
        </w:rPr>
        <w:t>均应加盖供应商公章并经法定代表人或委托代理人签字或加盖印章。</w:t>
      </w:r>
      <w:r>
        <w:rPr>
          <w:rFonts w:hint="eastAsia" w:hAnsi="宋体" w:cs="宋体"/>
          <w:bCs/>
        </w:rPr>
        <w:t>由委托代理人现场参加磋商活动的在磋商响应文件中须同时提交授权书。</w:t>
      </w:r>
      <w:r>
        <w:rPr>
          <w:rFonts w:hint="eastAsia" w:hAnsi="宋体" w:cs="宋体"/>
          <w:b/>
        </w:rPr>
        <w:t>响应</w:t>
      </w:r>
      <w:r>
        <w:rPr>
          <w:rFonts w:hint="eastAsia" w:hAnsi="宋体" w:cs="宋体"/>
          <w:b/>
          <w:spacing w:val="-2"/>
        </w:rPr>
        <w:t>文件封面、磋商响应函、</w:t>
      </w:r>
      <w:r>
        <w:rPr>
          <w:rFonts w:hint="eastAsia" w:hAnsi="宋体" w:cs="宋体"/>
          <w:b/>
          <w:spacing w:val="-2"/>
          <w:lang w:eastAsia="zh-CN"/>
        </w:rPr>
        <w:t>货物</w:t>
      </w:r>
      <w:r>
        <w:rPr>
          <w:rFonts w:hint="eastAsia" w:hAnsi="宋体" w:cs="宋体"/>
          <w:b/>
          <w:spacing w:val="-2"/>
        </w:rPr>
        <w:t>报价表、最后报价表、</w:t>
      </w:r>
      <w:r>
        <w:rPr>
          <w:rFonts w:hint="eastAsia" w:hAnsi="宋体" w:cs="宋体"/>
          <w:b/>
          <w:spacing w:val="-2"/>
          <w:lang w:eastAsia="zh-CN"/>
        </w:rPr>
        <w:t>货物</w:t>
      </w:r>
      <w:r>
        <w:rPr>
          <w:rFonts w:hint="eastAsia" w:hAnsi="宋体" w:cs="宋体"/>
          <w:b/>
          <w:spacing w:val="-2"/>
        </w:rPr>
        <w:t>内容及质量要求响应表、授权书的签字</w:t>
      </w:r>
      <w:r>
        <w:rPr>
          <w:rFonts w:hint="eastAsia" w:hAnsi="宋体" w:cs="宋体"/>
          <w:b/>
          <w:spacing w:val="-2"/>
          <w:lang w:eastAsia="zh-CN"/>
        </w:rPr>
        <w:t>、</w:t>
      </w:r>
      <w:r>
        <w:rPr>
          <w:rFonts w:hint="eastAsia" w:hAnsi="宋体" w:cs="宋体"/>
          <w:b/>
          <w:spacing w:val="-2"/>
        </w:rPr>
        <w:t>盖章</w:t>
      </w:r>
      <w:r>
        <w:rPr>
          <w:rFonts w:hint="eastAsia" w:hAnsi="宋体" w:cs="宋体"/>
          <w:b/>
          <w:spacing w:val="-2"/>
          <w:lang w:val="en-US" w:eastAsia="zh-CN"/>
        </w:rPr>
        <w:t>或格式</w:t>
      </w:r>
      <w:r>
        <w:rPr>
          <w:rFonts w:hint="eastAsia" w:hAnsi="宋体" w:cs="宋体"/>
          <w:b/>
          <w:spacing w:val="-2"/>
        </w:rPr>
        <w:t>不符合磋商文件要求的，磋商小组可要求其法定代表人或其委托的委托代理人补齐签字或承诺在签订合同前按照磋商文件要求</w:t>
      </w:r>
      <w:r>
        <w:rPr>
          <w:rFonts w:hint="eastAsia" w:hAnsi="宋体" w:cs="宋体"/>
          <w:b/>
          <w:spacing w:val="-2"/>
          <w:lang w:val="en-US" w:eastAsia="zh-CN"/>
        </w:rPr>
        <w:t>重新提供</w:t>
      </w:r>
      <w:r>
        <w:rPr>
          <w:rFonts w:hint="eastAsia" w:hAnsi="宋体" w:cs="宋体"/>
          <w:b/>
          <w:spacing w:val="-2"/>
        </w:rPr>
        <w:t>加盖印章。</w:t>
      </w:r>
    </w:p>
    <w:p>
      <w:pPr>
        <w:pStyle w:val="9"/>
        <w:ind w:firstLine="422" w:firstLineChars="200"/>
        <w:jc w:val="left"/>
        <w:rPr>
          <w:rFonts w:cs="宋体"/>
          <w:sz w:val="21"/>
          <w:szCs w:val="21"/>
        </w:rPr>
      </w:pPr>
      <w:bookmarkStart w:id="65" w:name="_Toc10023"/>
      <w:r>
        <w:rPr>
          <w:rFonts w:hint="eastAsia" w:cs="宋体"/>
          <w:sz w:val="21"/>
          <w:szCs w:val="21"/>
        </w:rPr>
        <w:t>四、响应文件的</w:t>
      </w:r>
      <w:bookmarkEnd w:id="64"/>
      <w:r>
        <w:rPr>
          <w:rFonts w:hint="eastAsia" w:cs="宋体"/>
          <w:sz w:val="21"/>
          <w:szCs w:val="21"/>
        </w:rPr>
        <w:t>提交</w:t>
      </w:r>
      <w:bookmarkEnd w:id="65"/>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szCs w:val="21"/>
        </w:rPr>
      </w:pPr>
      <w:r>
        <w:rPr>
          <w:rFonts w:hint="eastAsia" w:ascii="宋体" w:hAnsi="宋体" w:cs="宋体"/>
          <w:szCs w:val="21"/>
        </w:rPr>
        <w:t>17.1、响应文件需采用固定胶装方式装订并编码，不得采用活页装订。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17.2、供应商应将响应文件的正本、副本同时密封于一个文件袋内。包装密封，并在密封袋上加盖供应商公章。</w:t>
      </w:r>
    </w:p>
    <w:p>
      <w:pPr>
        <w:spacing w:line="360" w:lineRule="auto"/>
        <w:ind w:firstLine="420" w:firstLineChars="200"/>
        <w:rPr>
          <w:rFonts w:ascii="宋体" w:hAnsi="宋体" w:cs="宋体"/>
          <w:szCs w:val="21"/>
        </w:rPr>
      </w:pPr>
      <w:r>
        <w:rPr>
          <w:rFonts w:hint="eastAsia" w:ascii="宋体" w:hAnsi="宋体" w:cs="宋体"/>
          <w:szCs w:val="21"/>
        </w:rPr>
        <w:t>17.3、密封袋上应写明：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供应商名称（加盖供应商公章）。</w:t>
      </w:r>
    </w:p>
    <w:p>
      <w:pPr>
        <w:spacing w:line="360" w:lineRule="auto"/>
        <w:ind w:firstLine="420" w:firstLineChars="200"/>
        <w:rPr>
          <w:rFonts w:ascii="宋体" w:hAnsi="宋体" w:cs="宋体"/>
          <w:color w:val="000000"/>
          <w:szCs w:val="21"/>
        </w:rPr>
      </w:pPr>
      <w:r>
        <w:rPr>
          <w:rFonts w:hint="eastAsia" w:ascii="宋体" w:hAnsi="宋体" w:cs="宋体"/>
          <w:szCs w:val="21"/>
        </w:rPr>
        <w:t>17.4、未按上述要求装订、密封和标记的响应文件，将不被接受。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w:t>
      </w:r>
      <w:r>
        <w:rPr>
          <w:rFonts w:hint="eastAsia" w:ascii="宋体" w:hAnsi="宋体" w:cs="宋体"/>
          <w:szCs w:val="21"/>
        </w:rPr>
        <w:t>响应文件提交至指定地点。逾期送达或者未按要求送达指定地点的响应文件，采购单位不予受理</w:t>
      </w:r>
      <w:r>
        <w:rPr>
          <w:rFonts w:hint="eastAsia" w:ascii="宋体" w:hAnsi="宋体" w:cs="宋体"/>
          <w:color w:val="000000"/>
          <w:szCs w:val="21"/>
        </w:rPr>
        <w:t>。</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19.1、供应商提交响应文件以后，在约定的提交响应文件截止时间之前，</w:t>
      </w:r>
      <w:r>
        <w:rPr>
          <w:rFonts w:hint="eastAsia" w:ascii="宋体" w:hAnsi="宋体" w:cs="宋体"/>
          <w:szCs w:val="21"/>
        </w:rPr>
        <w:t>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bookmarkStart w:id="66" w:name="_Toc476584425"/>
      <w:r>
        <w:rPr>
          <w:rFonts w:hint="eastAsia" w:ascii="宋体" w:hAnsi="宋体" w:cs="宋体"/>
          <w:szCs w:val="21"/>
        </w:rPr>
        <w:t>19.2、供应商对响应文件的补充、修改或撤回通知，应按供应商须知17条有关约定密封、标记和提交，并在响应文件密封袋上清楚标明“补充、修改”或“撤回”字样。否则，补充、修改或撤回通知无效。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19.3、在规定的响应文件截止时间之后，供应商不得补充、修改磋商文件。</w:t>
      </w:r>
    </w:p>
    <w:p>
      <w:pPr>
        <w:pStyle w:val="9"/>
        <w:spacing w:line="360" w:lineRule="auto"/>
        <w:ind w:firstLine="413" w:firstLineChars="196"/>
        <w:jc w:val="left"/>
        <w:rPr>
          <w:rFonts w:cs="宋体"/>
          <w:sz w:val="21"/>
          <w:szCs w:val="21"/>
        </w:rPr>
      </w:pPr>
      <w:bookmarkStart w:id="67" w:name="_Toc19923"/>
      <w:r>
        <w:rPr>
          <w:rFonts w:hint="eastAsia" w:cs="宋体"/>
          <w:sz w:val="21"/>
          <w:szCs w:val="21"/>
        </w:rPr>
        <w:t>五、</w:t>
      </w:r>
      <w:bookmarkEnd w:id="66"/>
      <w:r>
        <w:rPr>
          <w:rFonts w:hint="eastAsia" w:cs="宋体"/>
          <w:sz w:val="21"/>
          <w:szCs w:val="21"/>
        </w:rPr>
        <w:t>磋商</w:t>
      </w:r>
      <w:bookmarkEnd w:id="67"/>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采购单位将在“磋商须知前附表”约定的时间和地点磋商，</w:t>
      </w:r>
      <w:r>
        <w:rPr>
          <w:rFonts w:hint="eastAsia" w:ascii="宋体" w:hAnsi="宋体"/>
          <w:szCs w:val="21"/>
        </w:rPr>
        <w:t>并邀请监督人员、</w:t>
      </w:r>
      <w:r>
        <w:rPr>
          <w:rFonts w:hint="eastAsia" w:ascii="宋体" w:hAnsi="宋体" w:cs="宋体"/>
          <w:szCs w:val="21"/>
        </w:rPr>
        <w:t>所有供应商的法定代表人或其委托代理人按时参加。</w:t>
      </w:r>
    </w:p>
    <w:p>
      <w:pPr>
        <w:spacing w:line="360" w:lineRule="auto"/>
        <w:ind w:firstLine="422" w:firstLineChars="200"/>
        <w:rPr>
          <w:rFonts w:ascii="宋体" w:cs="宋体"/>
          <w:b/>
          <w:szCs w:val="21"/>
        </w:rPr>
      </w:pPr>
      <w:r>
        <w:rPr>
          <w:rFonts w:ascii="宋体" w:hAnsi="宋体" w:cs="宋体"/>
          <w:b/>
          <w:szCs w:val="21"/>
        </w:rPr>
        <w:t>21</w:t>
      </w:r>
      <w:r>
        <w:rPr>
          <w:rFonts w:hint="eastAsia" w:ascii="宋体" w:hAnsi="宋体" w:cs="宋体"/>
          <w:b/>
          <w:szCs w:val="21"/>
        </w:rPr>
        <w:t>、开标程序</w:t>
      </w:r>
    </w:p>
    <w:p>
      <w:pPr>
        <w:pStyle w:val="31"/>
        <w:spacing w:line="480" w:lineRule="exact"/>
        <w:ind w:firstLine="420" w:firstLineChars="200"/>
        <w:rPr>
          <w:rFonts w:hAnsi="宋体"/>
        </w:rPr>
      </w:pPr>
      <w:r>
        <w:rPr>
          <w:rFonts w:hAnsi="宋体"/>
        </w:rPr>
        <w:t>21.1</w:t>
      </w:r>
      <w:r>
        <w:rPr>
          <w:rFonts w:hint="eastAsia" w:hAnsi="宋体"/>
        </w:rPr>
        <w:t>、磋商由采购单位代表主持，主持人按下列程序进行：</w:t>
      </w:r>
    </w:p>
    <w:p>
      <w:pPr>
        <w:pStyle w:val="31"/>
        <w:spacing w:line="480" w:lineRule="exact"/>
        <w:ind w:left="420" w:leftChars="200"/>
        <w:rPr>
          <w:rFonts w:hAnsi="宋体" w:cs="宋体"/>
          <w:color w:val="000000"/>
        </w:rPr>
      </w:pPr>
      <w:r>
        <w:rPr>
          <w:rFonts w:hAnsi="宋体"/>
        </w:rPr>
        <w:t>21.1.1</w:t>
      </w:r>
      <w:r>
        <w:rPr>
          <w:rFonts w:hint="eastAsia" w:hAnsi="宋体"/>
        </w:rPr>
        <w:t>、</w:t>
      </w:r>
      <w:r>
        <w:rPr>
          <w:rFonts w:hint="eastAsia" w:hAnsi="宋体" w:cs="宋体"/>
          <w:color w:val="000000"/>
        </w:rPr>
        <w:t>宣布项目名称、介绍参会人员；</w:t>
      </w:r>
    </w:p>
    <w:p>
      <w:pPr>
        <w:pStyle w:val="31"/>
        <w:spacing w:line="480" w:lineRule="exact"/>
        <w:ind w:left="420" w:leftChars="200"/>
        <w:rPr>
          <w:rFonts w:hAnsi="宋体"/>
        </w:rPr>
      </w:pPr>
      <w:r>
        <w:rPr>
          <w:rFonts w:hint="eastAsia" w:hAnsi="宋体" w:cs="宋体"/>
          <w:color w:val="000000"/>
        </w:rPr>
        <w:t>21.1.2、</w:t>
      </w:r>
      <w:r>
        <w:rPr>
          <w:rFonts w:hint="eastAsia" w:hAnsi="宋体"/>
        </w:rPr>
        <w:t>宣布磋商纪律；</w:t>
      </w:r>
    </w:p>
    <w:p>
      <w:pPr>
        <w:pStyle w:val="31"/>
        <w:spacing w:line="480" w:lineRule="exact"/>
        <w:ind w:left="420" w:leftChars="200"/>
        <w:rPr>
          <w:rFonts w:hAnsi="宋体"/>
        </w:rPr>
      </w:pPr>
      <w:r>
        <w:rPr>
          <w:rFonts w:hAnsi="宋体"/>
        </w:rPr>
        <w:t>21.1.</w:t>
      </w:r>
      <w:r>
        <w:rPr>
          <w:rFonts w:hint="eastAsia" w:hAnsi="宋体"/>
        </w:rPr>
        <w:t>3、由采购人代表查验供应商相关证件资料并检查响应文件的密封情况；</w:t>
      </w:r>
    </w:p>
    <w:p>
      <w:pPr>
        <w:pStyle w:val="31"/>
        <w:spacing w:line="480" w:lineRule="exact"/>
        <w:ind w:left="420" w:leftChars="200"/>
        <w:rPr>
          <w:rFonts w:hAnsi="宋体"/>
        </w:rPr>
      </w:pPr>
      <w:r>
        <w:rPr>
          <w:rFonts w:hAnsi="宋体"/>
        </w:rPr>
        <w:t>21.1.</w:t>
      </w:r>
      <w:r>
        <w:rPr>
          <w:rFonts w:hint="eastAsia" w:hAnsi="宋体"/>
        </w:rPr>
        <w:t>4、</w:t>
      </w:r>
      <w:r>
        <w:rPr>
          <w:rFonts w:hint="eastAsia" w:hAnsi="宋体" w:cs="宋体"/>
        </w:rPr>
        <w:t>现场开启响应文件</w:t>
      </w:r>
      <w:r>
        <w:rPr>
          <w:rFonts w:hint="eastAsia" w:hAnsi="宋体"/>
        </w:rPr>
        <w:t>；</w:t>
      </w:r>
    </w:p>
    <w:p>
      <w:pPr>
        <w:widowControl/>
        <w:spacing w:line="500" w:lineRule="exact"/>
        <w:ind w:firstLine="420" w:firstLineChars="200"/>
        <w:jc w:val="left"/>
        <w:rPr>
          <w:rFonts w:ascii="宋体" w:hAnsi="宋体" w:cs="宋体"/>
          <w:color w:val="000000"/>
          <w:szCs w:val="21"/>
        </w:rPr>
      </w:pPr>
      <w:r>
        <w:rPr>
          <w:rFonts w:ascii="宋体" w:hAnsi="宋体" w:cs="Courier New"/>
          <w:szCs w:val="21"/>
        </w:rPr>
        <w:t>21.1.</w:t>
      </w:r>
      <w:r>
        <w:rPr>
          <w:rFonts w:hint="eastAsia" w:ascii="宋体" w:hAnsi="宋体" w:cs="Courier New"/>
          <w:szCs w:val="21"/>
        </w:rPr>
        <w:t>5、采购人代表、记录人等有关人员在开标记录表上签字确认</w:t>
      </w:r>
      <w:r>
        <w:rPr>
          <w:rFonts w:hint="eastAsia" w:ascii="宋体" w:hAnsi="宋体" w:cs="宋体"/>
          <w:szCs w:val="21"/>
        </w:rPr>
        <w:t>；</w:t>
      </w:r>
    </w:p>
    <w:p>
      <w:pPr>
        <w:pStyle w:val="31"/>
        <w:spacing w:line="480" w:lineRule="exact"/>
        <w:ind w:left="420" w:leftChars="200"/>
        <w:rPr>
          <w:rFonts w:hAnsi="宋体"/>
        </w:rPr>
      </w:pPr>
      <w:r>
        <w:rPr>
          <w:rFonts w:hint="eastAsia" w:hAnsi="宋体" w:cs="宋体"/>
          <w:color w:val="000000"/>
        </w:rPr>
        <w:t>21.1.6、</w:t>
      </w:r>
      <w:r>
        <w:rPr>
          <w:rFonts w:hint="eastAsia" w:hAnsi="宋体"/>
        </w:rPr>
        <w:t>暂时休会，进入评审阶段</w:t>
      </w:r>
      <w:r>
        <w:rPr>
          <w:rFonts w:hint="eastAsia" w:hAnsi="宋体" w:cs="宋体"/>
          <w:color w:val="000000"/>
        </w:rPr>
        <w:t>；</w:t>
      </w:r>
      <w:r>
        <w:rPr>
          <w:rFonts w:hint="eastAsia" w:hAnsi="宋体" w:cs="宋体"/>
          <w:color w:val="000000"/>
        </w:rPr>
        <w:cr/>
      </w:r>
      <w:r>
        <w:rPr>
          <w:rFonts w:hAnsi="宋体"/>
        </w:rPr>
        <w:t>21.1.</w:t>
      </w:r>
      <w:r>
        <w:rPr>
          <w:rFonts w:hint="eastAsia" w:hAnsi="宋体"/>
        </w:rPr>
        <w:t>7、磋商小组对响应文件进行详细评审；</w:t>
      </w:r>
    </w:p>
    <w:p>
      <w:pPr>
        <w:pStyle w:val="31"/>
        <w:spacing w:line="480" w:lineRule="exact"/>
        <w:ind w:left="420" w:leftChars="200"/>
        <w:rPr>
          <w:rFonts w:hAnsi="宋体"/>
        </w:rPr>
      </w:pPr>
      <w:r>
        <w:rPr>
          <w:rFonts w:hAnsi="宋体"/>
        </w:rPr>
        <w:t>21.1.</w:t>
      </w:r>
      <w:r>
        <w:rPr>
          <w:rFonts w:hint="eastAsia" w:hAnsi="宋体"/>
        </w:rPr>
        <w:t>8、磋商小组集中与各供应商分别进行磋商；</w:t>
      </w:r>
    </w:p>
    <w:p>
      <w:pPr>
        <w:pStyle w:val="31"/>
        <w:spacing w:line="480" w:lineRule="exact"/>
        <w:ind w:left="420" w:leftChars="200"/>
        <w:rPr>
          <w:rFonts w:hAnsi="宋体"/>
        </w:rPr>
      </w:pPr>
      <w:r>
        <w:rPr>
          <w:rFonts w:hAnsi="宋体"/>
        </w:rPr>
        <w:t>21.1.</w:t>
      </w:r>
      <w:r>
        <w:rPr>
          <w:rFonts w:hint="eastAsia" w:hAnsi="宋体"/>
        </w:rPr>
        <w:t>9、实质性响应磋商文件的供应商进行最后报价；</w:t>
      </w:r>
    </w:p>
    <w:p>
      <w:pPr>
        <w:pStyle w:val="31"/>
        <w:spacing w:line="480" w:lineRule="exact"/>
        <w:ind w:left="420" w:leftChars="200"/>
        <w:rPr>
          <w:rFonts w:hAnsi="宋体"/>
        </w:rPr>
      </w:pPr>
      <w:r>
        <w:rPr>
          <w:rFonts w:hAnsi="宋体"/>
        </w:rPr>
        <w:t>21.1.</w:t>
      </w:r>
      <w:r>
        <w:rPr>
          <w:rFonts w:hint="eastAsia" w:hAnsi="宋体"/>
        </w:rPr>
        <w:t>10、磋商小组进行综合评分并编写评审报告；</w:t>
      </w:r>
    </w:p>
    <w:p>
      <w:pPr>
        <w:pStyle w:val="31"/>
        <w:spacing w:line="480" w:lineRule="exact"/>
        <w:ind w:left="420" w:leftChars="200"/>
        <w:rPr>
          <w:rFonts w:hAnsi="宋体"/>
        </w:rPr>
      </w:pPr>
      <w:r>
        <w:rPr>
          <w:rFonts w:hAnsi="宋体"/>
        </w:rPr>
        <w:t>21.1.1</w:t>
      </w:r>
      <w:r>
        <w:rPr>
          <w:rFonts w:hint="eastAsia" w:hAnsi="宋体"/>
        </w:rPr>
        <w:t>1、复会，宣布评审结果；</w:t>
      </w:r>
    </w:p>
    <w:p>
      <w:pPr>
        <w:pStyle w:val="31"/>
        <w:spacing w:line="480" w:lineRule="exact"/>
        <w:ind w:left="420" w:leftChars="200"/>
        <w:rPr>
          <w:rFonts w:hAnsi="宋体"/>
        </w:rPr>
      </w:pPr>
      <w:r>
        <w:rPr>
          <w:rFonts w:hAnsi="宋体"/>
        </w:rPr>
        <w:t>21.1.1</w:t>
      </w:r>
      <w:r>
        <w:rPr>
          <w:rFonts w:hint="eastAsia" w:hAnsi="宋体"/>
        </w:rPr>
        <w:t>2、磋商结束</w:t>
      </w:r>
    </w:p>
    <w:p>
      <w:pPr>
        <w:spacing w:line="360" w:lineRule="auto"/>
        <w:ind w:firstLine="422" w:firstLineChars="200"/>
        <w:rPr>
          <w:rFonts w:ascii="宋体" w:cs="宋体"/>
          <w:b/>
          <w:szCs w:val="21"/>
        </w:rPr>
      </w:pPr>
      <w:r>
        <w:rPr>
          <w:rFonts w:ascii="宋体" w:hAnsi="宋体" w:cs="宋体"/>
          <w:b/>
          <w:szCs w:val="21"/>
        </w:rPr>
        <w:t>21.2</w:t>
      </w:r>
      <w:r>
        <w:rPr>
          <w:rFonts w:hint="eastAsia" w:ascii="宋体" w:hAnsi="宋体" w:cs="宋体"/>
          <w:b/>
          <w:szCs w:val="21"/>
        </w:rPr>
        <w:t>、查验证件</w:t>
      </w:r>
    </w:p>
    <w:p>
      <w:pPr>
        <w:spacing w:line="360" w:lineRule="auto"/>
        <w:ind w:firstLine="420" w:firstLineChars="200"/>
        <w:rPr>
          <w:rFonts w:ascii="宋体" w:hAnsi="宋体" w:cs="宋体"/>
          <w:b/>
          <w:szCs w:val="21"/>
        </w:rPr>
      </w:pPr>
      <w:r>
        <w:rPr>
          <w:rFonts w:ascii="宋体" w:hAnsi="宋体" w:cs="宋体"/>
          <w:bCs/>
          <w:szCs w:val="21"/>
        </w:rPr>
        <w:t>21.2.1</w:t>
      </w:r>
      <w:r>
        <w:rPr>
          <w:rFonts w:hint="eastAsia" w:ascii="宋体" w:hAnsi="宋体" w:cs="宋体"/>
          <w:bCs/>
          <w:szCs w:val="21"/>
        </w:rPr>
        <w:t>、采购单位审查供应商以下证件，若证件不全或不符合要求，则查验不合格,由磋商小组认定其响应无效。</w:t>
      </w:r>
    </w:p>
    <w:p>
      <w:pPr>
        <w:spacing w:line="360" w:lineRule="auto"/>
        <w:ind w:firstLine="422" w:firstLineChars="200"/>
        <w:rPr>
          <w:rFonts w:ascii="宋体" w:hAnsi="宋体" w:cs="宋体"/>
          <w:b/>
          <w:szCs w:val="21"/>
        </w:rPr>
      </w:pPr>
      <w:r>
        <w:rPr>
          <w:rFonts w:hint="eastAsia" w:ascii="宋体" w:hAnsi="宋体" w:cs="宋体"/>
          <w:b/>
          <w:szCs w:val="21"/>
        </w:rPr>
        <w:t>法定代表人应出示身份证明、营业执照复印件或委托代理人应出示授权书（授权书格式见附件）。</w:t>
      </w:r>
    </w:p>
    <w:p>
      <w:pPr>
        <w:spacing w:line="360" w:lineRule="auto"/>
        <w:ind w:firstLine="420" w:firstLineChars="200"/>
        <w:rPr>
          <w:rFonts w:ascii="宋体" w:hAnsi="宋体" w:cs="宋体"/>
          <w:szCs w:val="21"/>
        </w:rPr>
      </w:pPr>
      <w:r>
        <w:rPr>
          <w:rFonts w:hint="eastAsia" w:ascii="宋体" w:hAnsi="宋体" w:cs="宋体"/>
          <w:szCs w:val="21"/>
        </w:rPr>
        <w:t>21.2.2、供应商必须对其响应文件中所有资料的真实性负责。若发现供应商有弄虚作假行为的，响应无效，由相关管理部门按照磋商文件相应条款对其做相应处罚。</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、响应文件有下列情形之一的，将不予受理：</w:t>
      </w:r>
      <w:r>
        <w:rPr>
          <w:rFonts w:ascii="宋体" w:hAnsi="宋体" w:cs="宋体"/>
          <w:szCs w:val="21"/>
        </w:rPr>
        <w:t xml:space="preserve"> </w:t>
      </w:r>
    </w:p>
    <w:p>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）逾期送达的或者未送达至指定地点的；</w:t>
      </w:r>
      <w:r>
        <w:rPr>
          <w:rFonts w:ascii="宋体" w:hAnsi="宋体" w:cs="宋体"/>
          <w:szCs w:val="21"/>
        </w:rPr>
        <w:t xml:space="preserve"> </w:t>
      </w:r>
    </w:p>
    <w:p>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）未按磋商文件要求包装、密封的。</w:t>
      </w:r>
    </w:p>
    <w:p>
      <w:pPr>
        <w:spacing w:line="360" w:lineRule="auto"/>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360" w:lineRule="auto"/>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供应商未按要求参加开标会、未按要求出示材料供现场查验或经查验不合格的；</w:t>
      </w:r>
    </w:p>
    <w:p>
      <w:pPr>
        <w:spacing w:line="360" w:lineRule="auto"/>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w:t>
      </w:r>
      <w:r>
        <w:rPr>
          <w:rFonts w:hint="eastAsia" w:ascii="宋体" w:hAnsi="宋体" w:cs="宋体"/>
          <w:color w:val="000000"/>
          <w:lang w:eastAsia="zh-CN"/>
        </w:rPr>
        <w:t>货物</w:t>
      </w:r>
      <w:r>
        <w:rPr>
          <w:rFonts w:hint="eastAsia" w:ascii="宋体" w:hAnsi="宋体" w:cs="宋体"/>
          <w:color w:val="000000"/>
        </w:rPr>
        <w:t>报价表、最后报价表、</w:t>
      </w:r>
      <w:r>
        <w:rPr>
          <w:rFonts w:hint="eastAsia" w:ascii="宋体" w:hAnsi="宋体" w:cs="宋体"/>
          <w:color w:val="000000"/>
          <w:lang w:eastAsia="zh-CN"/>
        </w:rPr>
        <w:t>货物</w:t>
      </w:r>
      <w:r>
        <w:rPr>
          <w:rFonts w:hint="eastAsia" w:ascii="宋体" w:hAnsi="宋体" w:cs="宋体"/>
          <w:color w:val="000000"/>
        </w:rPr>
        <w:t>内容及质量响应表</w:t>
      </w:r>
      <w:r>
        <w:rPr>
          <w:rFonts w:hint="eastAsia" w:ascii="宋体" w:hAnsi="宋体" w:cs="宋体"/>
          <w:color w:val="000000"/>
          <w:szCs w:val="21"/>
        </w:rPr>
        <w:t>不符合磋商文件要求拒绝补齐签字或拒绝承诺在合同签订前加盖印章的</w:t>
      </w:r>
      <w:r>
        <w:rPr>
          <w:rFonts w:hint="eastAsia" w:ascii="宋体" w:hAnsi="宋体" w:cs="宋体"/>
          <w:szCs w:val="21"/>
        </w:rPr>
        <w:t>；</w:t>
      </w:r>
    </w:p>
    <w:p>
      <w:pPr>
        <w:spacing w:line="360" w:lineRule="auto"/>
        <w:ind w:firstLine="420" w:firstLineChars="200"/>
        <w:rPr>
          <w:rFonts w:ascii="宋体" w:cs="宋体"/>
          <w:szCs w:val="21"/>
        </w:rPr>
      </w:pPr>
      <w:r>
        <w:rPr>
          <w:rFonts w:ascii="宋体" w:hAnsi="宋体" w:cs="宋体"/>
          <w:szCs w:val="21"/>
        </w:rPr>
        <w:t>22.2.3</w:t>
      </w:r>
      <w:r>
        <w:rPr>
          <w:rFonts w:hint="eastAsia" w:ascii="宋体" w:hAnsi="宋体" w:cs="宋体"/>
          <w:szCs w:val="21"/>
        </w:rPr>
        <w:t>、</w:t>
      </w:r>
      <w:r>
        <w:rPr>
          <w:rFonts w:hint="eastAsia" w:ascii="宋体" w:hAnsi="宋体" w:cs="宋体"/>
          <w:szCs w:val="21"/>
          <w:lang w:eastAsia="zh-CN"/>
        </w:rPr>
        <w:t>磋商限价</w:t>
      </w:r>
      <w:r>
        <w:rPr>
          <w:rFonts w:hint="eastAsia" w:ascii="宋体" w:hAnsi="宋体" w:cs="宋体"/>
          <w:szCs w:val="21"/>
        </w:rPr>
        <w:t>高于</w:t>
      </w:r>
      <w:r>
        <w:rPr>
          <w:rFonts w:hint="eastAsia" w:ascii="宋体" w:hAnsi="宋体" w:cs="宋体"/>
          <w:szCs w:val="21"/>
          <w:lang w:eastAsia="zh-CN"/>
        </w:rPr>
        <w:t>最高磋商限价</w:t>
      </w:r>
      <w:r>
        <w:rPr>
          <w:rFonts w:hint="eastAsia" w:ascii="宋体" w:hAnsi="宋体" w:cs="宋体"/>
          <w:szCs w:val="21"/>
        </w:rPr>
        <w:t>的；</w:t>
      </w:r>
    </w:p>
    <w:p>
      <w:pPr>
        <w:spacing w:line="360" w:lineRule="auto"/>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360" w:lineRule="auto"/>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360" w:lineRule="auto"/>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360" w:lineRule="auto"/>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360" w:lineRule="auto"/>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9"/>
        <w:ind w:firstLine="413" w:firstLineChars="196"/>
        <w:jc w:val="left"/>
        <w:rPr>
          <w:rFonts w:cs="宋体"/>
          <w:sz w:val="21"/>
          <w:szCs w:val="21"/>
        </w:rPr>
      </w:pPr>
      <w:bookmarkStart w:id="68" w:name="_Toc476584426"/>
      <w:bookmarkStart w:id="69" w:name="_Toc22280"/>
      <w:r>
        <w:rPr>
          <w:rFonts w:hint="eastAsia" w:cs="宋体"/>
          <w:sz w:val="21"/>
          <w:szCs w:val="21"/>
        </w:rPr>
        <w:t>六、评标</w:t>
      </w:r>
      <w:bookmarkEnd w:id="68"/>
      <w:bookmarkEnd w:id="69"/>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小组依法组建，其中采购人代表</w:t>
      </w:r>
      <w:r>
        <w:rPr>
          <w:rFonts w:ascii="宋体" w:hAnsi="宋体"/>
          <w:szCs w:val="21"/>
        </w:rPr>
        <w:t>1</w:t>
      </w:r>
      <w:r>
        <w:rPr>
          <w:rFonts w:hint="eastAsia" w:ascii="宋体" w:hAnsi="宋体"/>
          <w:szCs w:val="21"/>
        </w:rPr>
        <w:t>人。</w:t>
      </w:r>
      <w:r>
        <w:rPr>
          <w:rFonts w:hint="eastAsia" w:ascii="宋体" w:hAnsi="宋体" w:cs="宋体"/>
          <w:szCs w:val="21"/>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ascii="宋体" w:hAnsi="宋体"/>
                <w:szCs w:val="21"/>
              </w:rPr>
              <w:t>1</w:t>
            </w:r>
          </w:p>
        </w:tc>
        <w:tc>
          <w:tcPr>
            <w:tcW w:w="6282" w:type="dxa"/>
          </w:tcPr>
          <w:p>
            <w:pPr>
              <w:spacing w:line="360" w:lineRule="auto"/>
              <w:rPr>
                <w:rFonts w:ascii="宋体"/>
                <w:szCs w:val="21"/>
              </w:rPr>
            </w:pPr>
            <w:r>
              <w:rPr>
                <w:rFonts w:hint="eastAsia" w:ascii="宋体" w:hAnsi="宋体"/>
                <w:szCs w:val="21"/>
              </w:rPr>
              <w:t>供应商资格是否符合磋商文件要求（已办理“三证合一”登记的，只需提供营业执照或事业单位法人证书或社会团体法人登记证书扫描件）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ascii="宋体" w:hAnsi="宋体"/>
                <w:szCs w:val="21"/>
              </w:rPr>
              <w:t>2</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磋商文件要求提交的各种资格证明文件是否真实、完整、合法、有效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6" w:type="dxa"/>
          </w:tcPr>
          <w:p>
            <w:pPr>
              <w:spacing w:line="360" w:lineRule="auto"/>
              <w:jc w:val="center"/>
              <w:rPr>
                <w:rFonts w:ascii="宋体"/>
                <w:szCs w:val="21"/>
              </w:rPr>
            </w:pPr>
            <w:r>
              <w:rPr>
                <w:rFonts w:hint="eastAsia" w:ascii="宋体"/>
                <w:szCs w:val="21"/>
              </w:rPr>
              <w:t>4</w:t>
            </w:r>
          </w:p>
        </w:tc>
        <w:tc>
          <w:tcPr>
            <w:tcW w:w="6282" w:type="dxa"/>
          </w:tcPr>
          <w:p>
            <w:pPr>
              <w:spacing w:line="360" w:lineRule="auto"/>
              <w:rPr>
                <w:rFonts w:ascii="宋体"/>
                <w:szCs w:val="21"/>
              </w:rPr>
            </w:pPr>
            <w:r>
              <w:rPr>
                <w:rFonts w:hint="eastAsia" w:ascii="宋体" w:hAnsi="宋体"/>
                <w:szCs w:val="21"/>
              </w:rPr>
              <w:t>所提供的</w:t>
            </w:r>
            <w:r>
              <w:rPr>
                <w:rFonts w:hint="eastAsia" w:ascii="宋体" w:hAnsi="宋体"/>
                <w:szCs w:val="21"/>
                <w:lang w:eastAsia="zh-CN"/>
              </w:rPr>
              <w:t>货物</w:t>
            </w:r>
            <w:r>
              <w:rPr>
                <w:rFonts w:hint="eastAsia" w:ascii="宋体" w:hAnsi="宋体"/>
                <w:szCs w:val="21"/>
              </w:rPr>
              <w:t>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hint="eastAsia" w:ascii="宋体"/>
                <w:szCs w:val="21"/>
              </w:rPr>
              <w:t>6</w:t>
            </w:r>
          </w:p>
        </w:tc>
        <w:tc>
          <w:tcPr>
            <w:tcW w:w="6282" w:type="dxa"/>
          </w:tcPr>
          <w:p>
            <w:pPr>
              <w:spacing w:line="360" w:lineRule="auto"/>
              <w:rPr>
                <w:rFonts w:ascii="宋体"/>
                <w:szCs w:val="21"/>
              </w:rPr>
            </w:pPr>
            <w:r>
              <w:rPr>
                <w:rFonts w:hint="eastAsia" w:ascii="宋体" w:hAnsi="宋体"/>
                <w:szCs w:val="21"/>
              </w:rPr>
              <w:t>供货及</w:t>
            </w:r>
            <w:r>
              <w:rPr>
                <w:rFonts w:hint="eastAsia" w:ascii="宋体" w:hAnsi="宋体"/>
                <w:szCs w:val="21"/>
                <w:lang w:val="en-US" w:eastAsia="zh-CN"/>
              </w:rPr>
              <w:t>服务</w:t>
            </w:r>
            <w:r>
              <w:rPr>
                <w:rFonts w:hint="eastAsia" w:ascii="宋体" w:hAnsi="宋体"/>
                <w:szCs w:val="21"/>
              </w:rPr>
              <w:t>方案</w:t>
            </w:r>
            <w:r>
              <w:rPr>
                <w:rFonts w:hint="eastAsia" w:ascii="宋体" w:hAnsi="宋体"/>
                <w:szCs w:val="21"/>
                <w:lang w:eastAsia="zh-CN"/>
              </w:rPr>
              <w:t>（</w:t>
            </w:r>
            <w:r>
              <w:rPr>
                <w:rFonts w:hint="eastAsia" w:ascii="宋体" w:hAnsi="宋体"/>
                <w:szCs w:val="21"/>
                <w:lang w:val="en-US" w:eastAsia="zh-CN"/>
              </w:rPr>
              <w:t>包含带★的关键核心技术参数</w:t>
            </w:r>
            <w:r>
              <w:rPr>
                <w:rFonts w:hint="eastAsia" w:ascii="宋体" w:hAnsi="宋体"/>
                <w:szCs w:val="21"/>
                <w:lang w:eastAsia="zh-CN"/>
              </w:rPr>
              <w:t>）</w:t>
            </w:r>
            <w:r>
              <w:rPr>
                <w:rFonts w:hint="eastAsia" w:ascii="宋体" w:hAnsi="宋体"/>
                <w:szCs w:val="21"/>
              </w:rPr>
              <w:t>是否完整、可行且完全响应或优于磋商文件要求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hint="eastAsia" w:ascii="宋体"/>
                <w:szCs w:val="21"/>
              </w:rPr>
              <w:t>7</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bottom w:val="single" w:color="auto" w:sz="4" w:space="0"/>
            </w:tcBorders>
          </w:tcPr>
          <w:p>
            <w:pPr>
              <w:spacing w:line="360" w:lineRule="auto"/>
              <w:jc w:val="center"/>
              <w:rPr>
                <w:rFonts w:ascii="宋体"/>
                <w:szCs w:val="21"/>
              </w:rPr>
            </w:pPr>
            <w:r>
              <w:rPr>
                <w:rFonts w:hint="eastAsia" w:ascii="宋体"/>
                <w:szCs w:val="21"/>
              </w:rPr>
              <w:t>8</w:t>
            </w:r>
          </w:p>
        </w:tc>
        <w:tc>
          <w:tcPr>
            <w:tcW w:w="6282" w:type="dxa"/>
            <w:tcBorders>
              <w:bottom w:val="single" w:color="auto" w:sz="4" w:space="0"/>
            </w:tcBorders>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rPr>
            </w:pPr>
            <w:r>
              <w:rPr>
                <w:rFonts w:hint="eastAsia" w:ascii="宋体"/>
                <w:szCs w:val="21"/>
              </w:rPr>
              <w:t>9</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Borders>
              <w:left w:val="single" w:color="auto" w:sz="4" w:space="0"/>
            </w:tcBorders>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rPr>
            </w:pPr>
            <w:r>
              <w:rPr>
                <w:rFonts w:hint="eastAsia" w:ascii="宋体" w:hAnsi="宋体"/>
                <w:szCs w:val="21"/>
              </w:rPr>
              <w:t>10</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Borders>
              <w:left w:val="single" w:color="auto" w:sz="4" w:space="0"/>
            </w:tcBorders>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rPr>
            </w:pPr>
            <w:r>
              <w:rPr>
                <w:rFonts w:ascii="宋体" w:hAnsi="宋体"/>
                <w:szCs w:val="21"/>
              </w:rPr>
              <w:t>1</w:t>
            </w:r>
            <w:r>
              <w:rPr>
                <w:rFonts w:hint="eastAsia" w:ascii="宋体" w:hAnsi="宋体"/>
                <w:szCs w:val="21"/>
              </w:rPr>
              <w:t>1</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rPr>
            </w:pPr>
            <w:r>
              <w:rPr>
                <w:rFonts w:hint="eastAsia" w:ascii="Dotum" w:hAnsi="Dotum"/>
                <w:szCs w:val="21"/>
              </w:rPr>
              <w:t>响应文件是否符合磋商文件</w:t>
            </w:r>
          </w:p>
        </w:tc>
        <w:tc>
          <w:tcPr>
            <w:tcW w:w="1440" w:type="dxa"/>
            <w:tcBorders>
              <w:left w:val="single" w:color="auto" w:sz="4" w:space="0"/>
            </w:tcBorders>
          </w:tcPr>
          <w:p>
            <w:pPr>
              <w:spacing w:line="360" w:lineRule="auto"/>
              <w:rPr>
                <w:rFonts w:ascii="宋体"/>
                <w:szCs w:val="21"/>
              </w:rPr>
            </w:pPr>
          </w:p>
        </w:tc>
      </w:tr>
    </w:tbl>
    <w:p>
      <w:pPr>
        <w:widowControl/>
        <w:spacing w:line="360" w:lineRule="auto"/>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b/>
          <w:szCs w:val="21"/>
        </w:rPr>
        <w:t>磋商文件要求（评分细则要求的除外）在响应文件中提供复印件或影印件或扫描件的，若在响应文件中未提供响应复印件或影印件或扫描件，由成交人在签订合同前提交给采购人，否则视为成交人自动放弃成交资格。</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360" w:lineRule="auto"/>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、对磋商文件作出的实质性变动是磋商文件的有效组成部分，磋商小组及时以书面形式同时通知所有参加磋商的供应商。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供应商应当按照磋商文件的变动情况和磋商小组的要求重新提交响应文件，并由其法定代表人或授权代表签字或者加盖公章。由授权代表签字的，应当附授权书。</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若经磋商后需更改响应文件报价部分的，允许供应商作最后修改，修改结果是供应商响应文件的有效组成部分。最后修改必须由其法定代表人或授权代表签字或者加盖公章。</w:t>
      </w:r>
    </w:p>
    <w:p>
      <w:pPr>
        <w:widowControl/>
        <w:spacing w:line="500" w:lineRule="exact"/>
        <w:ind w:left="210" w:leftChars="100" w:firstLine="422" w:firstLineChars="200"/>
        <w:jc w:val="left"/>
        <w:rPr>
          <w:rFonts w:ascii="宋体" w:hAnsi="宋体"/>
          <w:szCs w:val="21"/>
        </w:rPr>
      </w:pPr>
      <w:r>
        <w:rPr>
          <w:rFonts w:hint="eastAsia" w:ascii="宋体" w:hAnsi="宋体"/>
          <w:b/>
          <w:szCs w:val="21"/>
        </w:rPr>
        <w:t>供应商磋商响应报价与公布的预算价（或最高磋商限价)相比降幅过小，或供应商磋商响应报价明显缺乏竞争性的，磋商小组可以否决所有磋商响应文件。</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hAns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tbl>
      <w:tblPr>
        <w:tblStyle w:val="6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615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w:t>
            </w:r>
          </w:p>
        </w:tc>
        <w:tc>
          <w:tcPr>
            <w:tcW w:w="6158"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w:t>
            </w:r>
          </w:p>
        </w:tc>
        <w:tc>
          <w:tcPr>
            <w:tcW w:w="110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8" w:hRule="atLeast"/>
          <w:jc w:val="center"/>
        </w:trPr>
        <w:tc>
          <w:tcPr>
            <w:tcW w:w="1772" w:type="dxa"/>
            <w:vAlign w:val="center"/>
          </w:tcPr>
          <w:p>
            <w:pPr>
              <w:tabs>
                <w:tab w:val="left" w:pos="851"/>
              </w:tabs>
              <w:spacing w:line="360" w:lineRule="auto"/>
              <w:ind w:right="-3"/>
              <w:jc w:val="center"/>
              <w:rPr>
                <w:rFonts w:hint="eastAsia" w:ascii="宋体" w:hAnsi="宋体" w:eastAsia="宋体" w:cs="宋体"/>
                <w:sz w:val="21"/>
                <w:szCs w:val="21"/>
              </w:rPr>
            </w:pPr>
            <w:r>
              <w:rPr>
                <w:rFonts w:hint="eastAsia" w:ascii="宋体" w:hAnsi="宋体" w:eastAsia="宋体" w:cs="宋体"/>
                <w:sz w:val="21"/>
                <w:szCs w:val="21"/>
              </w:rPr>
              <w:t>报价</w:t>
            </w:r>
          </w:p>
          <w:p>
            <w:pPr>
              <w:tabs>
                <w:tab w:val="left" w:pos="851"/>
              </w:tabs>
              <w:spacing w:line="360" w:lineRule="auto"/>
              <w:ind w:right="-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30分</w:t>
            </w:r>
            <w:r>
              <w:rPr>
                <w:rFonts w:hint="eastAsia" w:ascii="宋体" w:hAnsi="宋体" w:eastAsia="宋体" w:cs="宋体"/>
                <w:sz w:val="21"/>
                <w:szCs w:val="21"/>
                <w:lang w:val="en-US" w:eastAsia="zh-CN"/>
              </w:rPr>
              <w:t>)</w:t>
            </w:r>
          </w:p>
        </w:tc>
        <w:tc>
          <w:tcPr>
            <w:tcW w:w="6158" w:type="dxa"/>
            <w:vAlign w:val="center"/>
          </w:tcPr>
          <w:p>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报价得分＝（评标基准价/投标评审价）×</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rPr>
              <w:t>％×100；</w:t>
            </w:r>
          </w:p>
          <w:p>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评标基准价为满足磋商文件要求且最低的投标评审价；</w:t>
            </w:r>
          </w:p>
          <w:p>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投标评审价：</w:t>
            </w:r>
            <w:r>
              <w:rPr>
                <w:rFonts w:hint="eastAsia" w:ascii="宋体" w:hAnsi="宋体" w:eastAsia="宋体" w:cs="宋体"/>
                <w:sz w:val="21"/>
                <w:szCs w:val="21"/>
                <w:highlight w:val="none"/>
                <w:lang w:val="en-US" w:eastAsia="zh-CN"/>
              </w:rPr>
              <w:t>磋商小组</w:t>
            </w:r>
            <w:r>
              <w:rPr>
                <w:rFonts w:hint="eastAsia" w:ascii="宋体" w:hAnsi="宋体" w:eastAsia="宋体" w:cs="宋体"/>
                <w:sz w:val="21"/>
                <w:szCs w:val="21"/>
                <w:highlight w:val="none"/>
              </w:rPr>
              <w:t>按照报价评审要求确定的最终</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w:t>
            </w:r>
          </w:p>
          <w:p>
            <w:pPr>
              <w:tabs>
                <w:tab w:val="left" w:pos="851"/>
              </w:tabs>
              <w:spacing w:line="360" w:lineRule="auto"/>
              <w:ind w:right="-3"/>
              <w:rPr>
                <w:rFonts w:hint="eastAsia" w:ascii="宋体" w:hAnsi="宋体" w:eastAsia="宋体" w:cs="宋体"/>
                <w:sz w:val="21"/>
                <w:szCs w:val="21"/>
              </w:rPr>
            </w:pPr>
            <w:r>
              <w:rPr>
                <w:rFonts w:hint="eastAsia" w:ascii="宋体" w:hAnsi="宋体" w:eastAsia="宋体" w:cs="宋体"/>
                <w:sz w:val="21"/>
                <w:szCs w:val="21"/>
                <w:highlight w:val="none"/>
              </w:rPr>
              <w:t>（商务报价分计算至小数点后第二位、小数点后第三位四舍五入）</w:t>
            </w:r>
            <w:r>
              <w:rPr>
                <w:rFonts w:hint="eastAsia" w:ascii="宋体" w:hAnsi="宋体" w:eastAsia="宋体" w:cs="宋体"/>
                <w:sz w:val="21"/>
                <w:szCs w:val="21"/>
              </w:rPr>
              <w:t>（</w:t>
            </w:r>
            <w:r>
              <w:rPr>
                <w:rFonts w:hint="eastAsia" w:ascii="宋体" w:hAnsi="宋体" w:eastAsia="宋体" w:cs="宋体"/>
                <w:sz w:val="21"/>
                <w:szCs w:val="21"/>
                <w:lang w:val="en-US" w:eastAsia="zh-CN"/>
              </w:rPr>
              <w:t>磋商小组</w:t>
            </w:r>
            <w:r>
              <w:rPr>
                <w:rFonts w:hint="eastAsia" w:ascii="宋体" w:hAnsi="宋体" w:eastAsia="宋体" w:cs="宋体"/>
                <w:sz w:val="21"/>
                <w:szCs w:val="21"/>
              </w:rPr>
              <w:t>认为投标人的报价明显低于其他通过</w:t>
            </w:r>
            <w:r>
              <w:rPr>
                <w:rFonts w:hint="eastAsia" w:ascii="宋体" w:hAnsi="宋体" w:eastAsia="宋体" w:cs="宋体"/>
                <w:sz w:val="21"/>
                <w:szCs w:val="21"/>
                <w:lang w:eastAsia="zh-CN"/>
              </w:rPr>
              <w:t>初步</w:t>
            </w:r>
            <w:r>
              <w:rPr>
                <w:rFonts w:hint="eastAsia" w:ascii="宋体" w:hAnsi="宋体" w:eastAsia="宋体" w:cs="宋体"/>
                <w:sz w:val="21"/>
                <w:szCs w:val="21"/>
              </w:rPr>
              <w:t xml:space="preserve">审查投标人的报价，有可能影响质量或者不能诚信履约的，应当要求其在评标现场合理的时间内提供书面说明，必要时提交相关证明材料；投标人不能证明其报价合理性的，磋商小组应当将其作为无效投标处理） </w:t>
            </w:r>
          </w:p>
        </w:tc>
        <w:tc>
          <w:tcPr>
            <w:tcW w:w="1103" w:type="dxa"/>
            <w:vAlign w:val="center"/>
          </w:tcPr>
          <w:p>
            <w:pPr>
              <w:tabs>
                <w:tab w:val="left" w:pos="851"/>
              </w:tabs>
              <w:spacing w:line="360" w:lineRule="auto"/>
              <w:ind w:right="-3"/>
              <w:jc w:val="center"/>
              <w:rPr>
                <w:rFonts w:hint="eastAsia" w:ascii="宋体" w:hAnsi="宋体" w:eastAsia="宋体" w:cs="宋体"/>
                <w:sz w:val="21"/>
                <w:szCs w:val="21"/>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72" w:type="dxa"/>
            <w:vAlign w:val="center"/>
          </w:tcPr>
          <w:p>
            <w:pPr>
              <w:tabs>
                <w:tab w:val="left" w:pos="851"/>
              </w:tabs>
              <w:spacing w:line="360" w:lineRule="auto"/>
              <w:ind w:right="-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w:t>
            </w:r>
          </w:p>
          <w:p>
            <w:pPr>
              <w:widowControl w:val="0"/>
              <w:spacing w:after="120" w:afterLines="0"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（40分）</w:t>
            </w: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所投产品完全满足或优于招标技术要求的计40分</w:t>
            </w:r>
            <w:r>
              <w:rPr>
                <w:rFonts w:hint="eastAsia" w:ascii="宋体" w:hAnsi="宋体" w:cs="宋体"/>
                <w:sz w:val="21"/>
                <w:szCs w:val="21"/>
                <w:lang w:val="en-US" w:eastAsia="zh-CN"/>
              </w:rPr>
              <w:t>；</w:t>
            </w:r>
          </w:p>
          <w:p>
            <w:pPr>
              <w:bidi w:val="0"/>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带★的技术要求为重要技术指标，必须响应招标文件，</w:t>
            </w:r>
            <w:r>
              <w:rPr>
                <w:rFonts w:hint="eastAsia" w:ascii="宋体" w:hAnsi="宋体" w:cs="宋体"/>
                <w:sz w:val="21"/>
                <w:szCs w:val="21"/>
                <w:lang w:val="en-US" w:eastAsia="zh-CN"/>
              </w:rPr>
              <w:t>不满足做为废标项</w:t>
            </w:r>
          </w:p>
          <w:p>
            <w:pPr>
              <w:bidi w:val="0"/>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未带★的技术要求为一般技术指标，一项不满足扣2分，扣完40分为止。</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车辆投标参数以工信部公告参数为准，为谋求中标提供虚假参数的技术部分按零分处理。</w:t>
            </w:r>
          </w:p>
        </w:tc>
        <w:tc>
          <w:tcPr>
            <w:tcW w:w="1103" w:type="dxa"/>
            <w:vAlign w:val="center"/>
          </w:tcPr>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40</w:t>
            </w:r>
            <w:r>
              <w:rPr>
                <w:rFonts w:hint="eastAsia" w:ascii="宋体" w:hAnsi="宋体" w:eastAsia="宋体" w:cs="宋体"/>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772" w:type="dxa"/>
            <w:vMerge w:val="restart"/>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企业综合实力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14分</w:t>
            </w:r>
            <w:r>
              <w:rPr>
                <w:rFonts w:hint="eastAsia" w:ascii="宋体" w:hAnsi="宋体" w:eastAsia="宋体" w:cs="宋体"/>
                <w:color w:val="auto"/>
                <w:sz w:val="21"/>
                <w:szCs w:val="21"/>
                <w:highlight w:val="none"/>
                <w:lang w:eastAsia="zh-CN"/>
              </w:rPr>
              <w:t>）</w:t>
            </w:r>
          </w:p>
          <w:p>
            <w:pPr>
              <w:spacing w:line="360" w:lineRule="auto"/>
              <w:jc w:val="center"/>
              <w:rPr>
                <w:rFonts w:hint="eastAsia" w:ascii="宋体" w:hAnsi="宋体" w:eastAsia="宋体" w:cs="宋体"/>
                <w:color w:val="auto"/>
                <w:sz w:val="21"/>
                <w:szCs w:val="21"/>
                <w:highlight w:val="none"/>
              </w:rPr>
            </w:pP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投标供应商或所投产品制造商拥有中国合格评定国家认可委员会认可的《节能减排重点试验室》的得2分。</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highlight w:val="none"/>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w:t>
            </w:r>
            <w:r>
              <w:rPr>
                <w:rFonts w:hint="eastAsia" w:ascii="宋体" w:hAnsi="宋体" w:eastAsia="宋体" w:cs="宋体"/>
                <w:color w:val="auto"/>
                <w:sz w:val="21"/>
                <w:szCs w:val="21"/>
                <w:lang w:val="en-US" w:eastAsia="zh-CN"/>
              </w:rPr>
              <w:t>或所投产品制造商</w:t>
            </w:r>
            <w:r>
              <w:rPr>
                <w:rFonts w:hint="eastAsia" w:ascii="宋体" w:hAnsi="宋体" w:eastAsia="宋体" w:cs="宋体"/>
                <w:sz w:val="21"/>
                <w:szCs w:val="21"/>
                <w:lang w:val="en-US" w:eastAsia="zh-CN"/>
              </w:rPr>
              <w:t>具备有效期内的ISO9001质量管理体系认证证书、GB/T24001环境管理体系认证证书、GB/T45001职业健康安全管理体系认证的得6分，缺1项扣2分。</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投标供应商或所投产品制造商获得国家级科学技术进步奖的得2分</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adjustRightInd w:val="0"/>
              <w:snapToGrid w:val="0"/>
              <w:spacing w:line="360" w:lineRule="auto"/>
              <w:outlineLvl w:val="0"/>
              <w:rPr>
                <w:rFonts w:hint="eastAsia" w:ascii="宋体" w:hAnsi="宋体" w:eastAsia="宋体" w:cs="仿宋"/>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投标供应商或所投产品制造商</w:t>
            </w:r>
            <w:r>
              <w:rPr>
                <w:rFonts w:hint="eastAsia" w:ascii="宋体" w:hAnsi="宋体" w:eastAsia="宋体" w:cs="仿宋"/>
                <w:color w:val="000000"/>
                <w:sz w:val="21"/>
                <w:szCs w:val="21"/>
              </w:rPr>
              <w:t>获国家知识产权示范企业</w:t>
            </w:r>
            <w:r>
              <w:rPr>
                <w:rFonts w:hint="eastAsia" w:ascii="宋体" w:hAnsi="宋体" w:eastAsia="宋体" w:cs="仿宋"/>
                <w:color w:val="000000"/>
                <w:sz w:val="21"/>
                <w:szCs w:val="21"/>
                <w:lang w:eastAsia="zh-CN"/>
              </w:rPr>
              <w:t>得</w:t>
            </w:r>
            <w:r>
              <w:rPr>
                <w:rFonts w:hint="eastAsia" w:ascii="宋体" w:hAnsi="宋体" w:eastAsia="宋体" w:cs="仿宋"/>
                <w:color w:val="000000"/>
                <w:sz w:val="21"/>
                <w:szCs w:val="21"/>
                <w:lang w:val="en-US" w:eastAsia="zh-CN"/>
              </w:rPr>
              <w:t>2分</w:t>
            </w:r>
          </w:p>
          <w:p>
            <w:pPr>
              <w:adjustRightInd w:val="0"/>
              <w:snapToGrid w:val="0"/>
              <w:spacing w:line="360" w:lineRule="auto"/>
              <w:outlineLvl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bottom"/>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投标供应商或所投产品制造商</w:t>
            </w:r>
            <w:r>
              <w:rPr>
                <w:rFonts w:hint="eastAsia" w:ascii="宋体" w:hAnsi="宋体" w:eastAsia="宋体" w:cs="宋体"/>
                <w:sz w:val="21"/>
                <w:szCs w:val="21"/>
              </w:rPr>
              <w:t>获得</w:t>
            </w:r>
            <w:r>
              <w:rPr>
                <w:rFonts w:hint="eastAsia" w:ascii="宋体" w:hAnsi="宋体" w:eastAsia="宋体" w:cs="宋体"/>
                <w:sz w:val="21"/>
                <w:szCs w:val="21"/>
                <w:lang w:eastAsia="zh-CN"/>
              </w:rPr>
              <w:t>由“工业和信息化部”</w:t>
            </w:r>
            <w:r>
              <w:rPr>
                <w:rFonts w:hint="eastAsia" w:ascii="宋体" w:hAnsi="宋体" w:eastAsia="宋体" w:cs="宋体"/>
                <w:sz w:val="21"/>
                <w:szCs w:val="21"/>
              </w:rPr>
              <w:t>智能制造试点示范单位荣誉</w:t>
            </w:r>
            <w:r>
              <w:rPr>
                <w:rFonts w:hint="eastAsia" w:ascii="宋体" w:hAnsi="宋体" w:eastAsia="宋体" w:cs="宋体"/>
                <w:sz w:val="21"/>
                <w:szCs w:val="21"/>
                <w:lang w:eastAsia="zh-CN"/>
              </w:rPr>
              <w:t>的得</w:t>
            </w:r>
            <w:r>
              <w:rPr>
                <w:rFonts w:hint="eastAsia" w:ascii="宋体" w:hAnsi="宋体" w:eastAsia="宋体" w:cs="宋体"/>
                <w:sz w:val="21"/>
                <w:szCs w:val="21"/>
                <w:lang w:val="en-US" w:eastAsia="zh-CN"/>
              </w:rPr>
              <w:t>2分</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Align w:val="center"/>
          </w:tcPr>
          <w:p>
            <w:pPr>
              <w:widowControl w:val="0"/>
              <w:autoSpaceDE w:val="0"/>
              <w:autoSpaceDN w:val="0"/>
              <w:spacing w:before="93" w:beforeLines="30" w:after="93" w:afterLines="30" w:line="360" w:lineRule="auto"/>
              <w:ind w:left="107" w:leftChars="0"/>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安装调试、供货计划及保证措施方案（3分）</w:t>
            </w:r>
          </w:p>
        </w:tc>
        <w:tc>
          <w:tcPr>
            <w:tcW w:w="6158" w:type="dxa"/>
            <w:vAlign w:val="center"/>
          </w:tcPr>
          <w:p>
            <w:pPr>
              <w:widowControl w:val="0"/>
              <w:autoSpaceDE w:val="0"/>
              <w:autoSpaceDN w:val="0"/>
              <w:spacing w:before="93" w:beforeLines="30" w:after="93" w:afterLines="30" w:line="360" w:lineRule="auto"/>
              <w:ind w:left="107" w:leftChars="0"/>
              <w:jc w:val="left"/>
              <w:rPr>
                <w:rFonts w:hint="eastAsia"/>
                <w:lang w:val="en-US" w:eastAsia="zh-CN"/>
              </w:rPr>
            </w:pPr>
            <w:r>
              <w:rPr>
                <w:rFonts w:hint="eastAsia"/>
                <w:lang w:val="en-US" w:eastAsia="zh-CN"/>
              </w:rPr>
              <w:t>根据投标供应商针对本项目的进度安排、项目具体实施计划、安装调试、产品发运、质量控制及保证方案在进行综合评定，</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1）方案内容详细，科学合理，服务内容针对性强的得3 分；</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2）方案内容较详细，基本科学合理，服务内容针对性较强的2分；</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3）方案内容满足项目基本需求的，得1分；</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4）不提供或提供不完整的不得分</w:t>
            </w:r>
          </w:p>
        </w:tc>
        <w:tc>
          <w:tcPr>
            <w:tcW w:w="1103" w:type="dxa"/>
            <w:vAlign w:val="center"/>
          </w:tcPr>
          <w:p>
            <w:pPr>
              <w:widowControl w:val="0"/>
              <w:autoSpaceDE w:val="0"/>
              <w:autoSpaceDN w:val="0"/>
              <w:spacing w:before="93" w:beforeLines="30" w:after="93" w:afterLines="30" w:line="360" w:lineRule="auto"/>
              <w:ind w:left="107" w:leftChars="0"/>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Align w:val="center"/>
          </w:tcPr>
          <w:p>
            <w:pPr>
              <w:widowControl w:val="0"/>
              <w:autoSpaceDE w:val="0"/>
              <w:autoSpaceDN w:val="0"/>
              <w:spacing w:before="93" w:beforeLines="30" w:after="93" w:afterLines="30" w:line="360" w:lineRule="auto"/>
              <w:ind w:left="107" w:leftChars="0"/>
              <w:jc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lang w:val="en-US" w:eastAsia="zh-CN" w:bidi="zh-CN"/>
              </w:rPr>
              <w:t>业绩（3分）</w:t>
            </w:r>
          </w:p>
        </w:tc>
        <w:tc>
          <w:tcPr>
            <w:tcW w:w="6158" w:type="dxa"/>
            <w:vAlign w:val="center"/>
          </w:tcPr>
          <w:p>
            <w:pPr>
              <w:spacing w:line="360" w:lineRule="auto"/>
              <w:rPr>
                <w:rFonts w:hint="eastAsia" w:ascii="宋体" w:hAnsi="宋体" w:eastAsia="宋体" w:cs="宋体"/>
                <w:color w:val="C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投标供应商</w:t>
            </w:r>
            <w:r>
              <w:rPr>
                <w:rFonts w:hint="eastAsia" w:ascii="宋体" w:hAnsi="宋体" w:eastAsia="宋体" w:cs="宋体"/>
                <w:i w:val="0"/>
                <w:strike w:val="0"/>
                <w:dstrike w:val="0"/>
                <w:color w:val="auto"/>
                <w:kern w:val="0"/>
                <w:sz w:val="21"/>
                <w:szCs w:val="21"/>
                <w:highlight w:val="none"/>
                <w:u w:val="none"/>
                <w:lang w:val="en-US" w:eastAsia="zh-CN" w:bidi="ar"/>
              </w:rPr>
              <w:t>或所投产品制造商</w:t>
            </w:r>
            <w:r>
              <w:rPr>
                <w:rFonts w:hint="eastAsia" w:ascii="宋体" w:hAnsi="宋体" w:eastAsia="宋体" w:cs="宋体"/>
                <w:color w:val="auto"/>
                <w:sz w:val="21"/>
                <w:szCs w:val="21"/>
                <w:highlight w:val="none"/>
              </w:rPr>
              <w:t>提供近三年</w:t>
            </w:r>
            <w:r>
              <w:rPr>
                <w:rFonts w:hint="eastAsia" w:ascii="宋体" w:hAnsi="宋体" w:eastAsia="宋体" w:cs="宋体"/>
                <w:color w:val="auto"/>
                <w:sz w:val="21"/>
                <w:szCs w:val="21"/>
                <w:highlight w:val="none"/>
                <w:lang w:eastAsia="zh-CN"/>
              </w:rPr>
              <w:t>自2020年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月1日至今（以合同签订时间为准）</w:t>
            </w:r>
            <w:r>
              <w:rPr>
                <w:rFonts w:hint="eastAsia" w:ascii="宋体" w:hAnsi="宋体" w:eastAsia="宋体" w:cs="宋体"/>
                <w:strike w:val="0"/>
                <w:dstrike w:val="0"/>
                <w:color w:val="auto"/>
                <w:sz w:val="21"/>
                <w:szCs w:val="21"/>
                <w:highlight w:val="none"/>
                <w:lang w:val="en-US" w:eastAsia="zh-CN"/>
              </w:rPr>
              <w:t>本项目</w:t>
            </w:r>
            <w:r>
              <w:rPr>
                <w:rFonts w:hint="eastAsia" w:ascii="宋体" w:hAnsi="宋体" w:eastAsia="宋体" w:cs="宋体"/>
                <w:strike w:val="0"/>
                <w:dstrike w:val="0"/>
                <w:color w:val="auto"/>
                <w:sz w:val="21"/>
                <w:szCs w:val="21"/>
                <w:highlight w:val="none"/>
                <w:lang w:eastAsia="zh-CN"/>
              </w:rPr>
              <w:t>所投</w:t>
            </w:r>
            <w:r>
              <w:rPr>
                <w:rFonts w:hint="eastAsia" w:ascii="宋体" w:hAnsi="宋体" w:cs="宋体"/>
                <w:strike w:val="0"/>
                <w:dstrike w:val="0"/>
                <w:color w:val="auto"/>
                <w:sz w:val="21"/>
                <w:szCs w:val="21"/>
                <w:highlight w:val="none"/>
                <w:lang w:val="en-US" w:eastAsia="zh-CN"/>
              </w:rPr>
              <w:t>车辆的供货</w:t>
            </w:r>
            <w:r>
              <w:rPr>
                <w:rFonts w:hint="eastAsia" w:ascii="宋体" w:hAnsi="宋体" w:eastAsia="宋体" w:cs="宋体"/>
                <w:color w:val="auto"/>
                <w:sz w:val="21"/>
                <w:szCs w:val="21"/>
                <w:highlight w:val="none"/>
              </w:rPr>
              <w:t>业绩，一个得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注：1.提供合同复印件或扫描件或影印件并加盖供应商公章（合同上需体现</w:t>
            </w:r>
            <w:r>
              <w:rPr>
                <w:rFonts w:hint="eastAsia" w:ascii="宋体" w:hAnsi="宋体" w:eastAsia="宋体" w:cs="宋体"/>
                <w:bCs/>
                <w:color w:val="auto"/>
                <w:sz w:val="21"/>
                <w:szCs w:val="21"/>
                <w:highlight w:val="none"/>
                <w:lang w:val="en-US" w:eastAsia="zh-CN"/>
              </w:rPr>
              <w:t>合同</w:t>
            </w:r>
            <w:r>
              <w:rPr>
                <w:rFonts w:hint="eastAsia" w:ascii="宋体" w:hAnsi="宋体" w:eastAsia="宋体" w:cs="宋体"/>
                <w:bCs/>
                <w:color w:val="auto"/>
                <w:sz w:val="21"/>
                <w:szCs w:val="21"/>
                <w:highlight w:val="none"/>
              </w:rPr>
              <w:t>签订时间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货物</w:t>
            </w:r>
            <w:r>
              <w:rPr>
                <w:rFonts w:hint="eastAsia" w:ascii="宋体" w:hAnsi="宋体" w:eastAsia="宋体" w:cs="宋体"/>
                <w:bCs/>
                <w:color w:val="auto"/>
                <w:sz w:val="21"/>
                <w:szCs w:val="21"/>
                <w:highlight w:val="none"/>
              </w:rPr>
              <w:t>等内容）。</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2.提供由合同甲方（采购人）出具的合同履约完成的证明材料，需加盖合同甲方（采购人）公章。</w:t>
            </w:r>
          </w:p>
          <w:p>
            <w:pPr>
              <w:spacing w:line="360" w:lineRule="auto"/>
              <w:rPr>
                <w:rFonts w:hint="eastAsia" w:ascii="宋体" w:hAnsi="宋体" w:eastAsia="宋体" w:cs="宋体"/>
                <w:color w:val="000000"/>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上述材料须同时具备，缺少任一材料则该业绩不得分。</w:t>
            </w:r>
          </w:p>
        </w:tc>
        <w:tc>
          <w:tcPr>
            <w:tcW w:w="1103" w:type="dxa"/>
            <w:vAlign w:val="center"/>
          </w:tcPr>
          <w:p>
            <w:pPr>
              <w:tabs>
                <w:tab w:val="left" w:pos="851"/>
              </w:tabs>
              <w:spacing w:line="360" w:lineRule="auto"/>
              <w:ind w:right="-108"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Merge w:val="restar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158" w:type="dxa"/>
            <w:vAlign w:val="center"/>
          </w:tcPr>
          <w:p>
            <w:pPr>
              <w:widowControl w:val="0"/>
              <w:tabs>
                <w:tab w:val="left" w:pos="567"/>
              </w:tabs>
              <w:spacing w:after="0" w:line="360" w:lineRule="auto"/>
              <w:jc w:val="left"/>
              <w:rPr>
                <w:rFonts w:hint="eastAsia" w:ascii="宋体" w:hAnsi="宋体" w:eastAsia="宋体" w:cs="Courier New"/>
                <w:bCs/>
                <w:kern w:val="2"/>
                <w:sz w:val="21"/>
                <w:szCs w:val="21"/>
                <w:lang w:val="zh-CN" w:eastAsia="zh-CN" w:bidi="ar-SA"/>
              </w:rPr>
            </w:pPr>
            <w:r>
              <w:rPr>
                <w:rFonts w:hint="eastAsia" w:ascii="宋体" w:hAnsi="宋体" w:eastAsia="宋体" w:cs="Courier New"/>
                <w:bCs/>
                <w:kern w:val="2"/>
                <w:sz w:val="21"/>
                <w:szCs w:val="21"/>
                <w:lang w:val="zh-CN" w:eastAsia="zh-CN" w:bidi="ar-SA"/>
              </w:rPr>
              <w:t>售后服务模式、售后服务理念、售后服务体系、售后服务政策、培训计划等内容内进行综合评定</w:t>
            </w:r>
          </w:p>
          <w:p>
            <w:pPr>
              <w:widowControl w:val="0"/>
              <w:numPr>
                <w:ilvl w:val="0"/>
                <w:numId w:val="6"/>
              </w:numPr>
              <w:tabs>
                <w:tab w:val="left" w:pos="567"/>
              </w:tabs>
              <w:spacing w:after="0" w:line="360" w:lineRule="auto"/>
              <w:jc w:val="left"/>
              <w:rPr>
                <w:rFonts w:hint="eastAsia" w:ascii="宋体" w:hAnsi="宋体" w:eastAsia="宋体" w:cs="Courier New"/>
                <w:bCs/>
                <w:kern w:val="2"/>
                <w:sz w:val="21"/>
                <w:szCs w:val="21"/>
                <w:highlight w:val="none"/>
                <w:lang w:val="zh-CN" w:eastAsia="zh-CN" w:bidi="ar-SA"/>
              </w:rPr>
            </w:pPr>
            <w:r>
              <w:rPr>
                <w:rFonts w:hint="eastAsia" w:ascii="宋体" w:hAnsi="宋体" w:eastAsia="宋体" w:cs="Courier New"/>
                <w:bCs/>
                <w:kern w:val="2"/>
                <w:sz w:val="21"/>
                <w:szCs w:val="21"/>
                <w:highlight w:val="none"/>
                <w:lang w:val="zh-CN" w:eastAsia="zh-CN" w:bidi="ar-SA"/>
              </w:rPr>
              <w:t>售后服务方案内容详细，科学合理，服务内容针对性强的得</w:t>
            </w:r>
            <w:r>
              <w:rPr>
                <w:rFonts w:hint="eastAsia" w:ascii="宋体" w:hAnsi="宋体" w:eastAsia="宋体" w:cs="Courier New"/>
                <w:bCs/>
                <w:kern w:val="2"/>
                <w:sz w:val="21"/>
                <w:szCs w:val="21"/>
                <w:highlight w:val="none"/>
                <w:lang w:val="en-US" w:eastAsia="zh-CN" w:bidi="ar-SA"/>
              </w:rPr>
              <w:t>5</w:t>
            </w:r>
            <w:r>
              <w:rPr>
                <w:rFonts w:hint="eastAsia" w:ascii="宋体" w:hAnsi="宋体" w:eastAsia="宋体" w:cs="Courier New"/>
                <w:bCs/>
                <w:kern w:val="2"/>
                <w:sz w:val="21"/>
                <w:szCs w:val="21"/>
                <w:highlight w:val="none"/>
                <w:lang w:val="zh-CN" w:eastAsia="zh-CN" w:bidi="ar-SA"/>
              </w:rPr>
              <w:t>分。</w:t>
            </w:r>
          </w:p>
          <w:p>
            <w:pPr>
              <w:widowControl w:val="0"/>
              <w:numPr>
                <w:ilvl w:val="0"/>
                <w:numId w:val="6"/>
              </w:numPr>
              <w:tabs>
                <w:tab w:val="left" w:pos="567"/>
              </w:tabs>
              <w:spacing w:after="0" w:line="360" w:lineRule="auto"/>
              <w:ind w:left="0" w:leftChars="0" w:firstLine="0" w:firstLineChars="0"/>
              <w:jc w:val="left"/>
              <w:rPr>
                <w:rFonts w:hint="eastAsia" w:ascii="宋体" w:hAnsi="宋体" w:eastAsia="宋体" w:cs="Courier New"/>
                <w:bCs/>
                <w:kern w:val="2"/>
                <w:sz w:val="21"/>
                <w:szCs w:val="21"/>
                <w:highlight w:val="none"/>
                <w:lang w:val="zh-CN" w:eastAsia="zh-CN" w:bidi="ar-SA"/>
              </w:rPr>
            </w:pPr>
            <w:r>
              <w:rPr>
                <w:rFonts w:hint="eastAsia" w:ascii="宋体" w:hAnsi="宋体" w:eastAsia="宋体" w:cs="Courier New"/>
                <w:bCs/>
                <w:kern w:val="2"/>
                <w:sz w:val="21"/>
                <w:szCs w:val="21"/>
                <w:highlight w:val="none"/>
                <w:lang w:val="zh-CN" w:eastAsia="zh-CN" w:bidi="ar-SA"/>
              </w:rPr>
              <w:t>售后服务方案内容较详细，基本科学合理，服务内容针对性较强的</w:t>
            </w:r>
            <w:r>
              <w:rPr>
                <w:rFonts w:hint="eastAsia" w:ascii="宋体" w:hAnsi="宋体" w:eastAsia="宋体" w:cs="Courier New"/>
                <w:bCs/>
                <w:kern w:val="2"/>
                <w:sz w:val="21"/>
                <w:szCs w:val="21"/>
                <w:highlight w:val="none"/>
                <w:lang w:val="en-US" w:eastAsia="zh-CN" w:bidi="ar-SA"/>
              </w:rPr>
              <w:t>3</w:t>
            </w:r>
            <w:r>
              <w:rPr>
                <w:rFonts w:hint="eastAsia" w:ascii="宋体" w:hAnsi="宋体" w:eastAsia="宋体" w:cs="Courier New"/>
                <w:bCs/>
                <w:kern w:val="2"/>
                <w:sz w:val="21"/>
                <w:szCs w:val="21"/>
                <w:highlight w:val="none"/>
                <w:lang w:val="zh-CN" w:eastAsia="zh-CN" w:bidi="ar-SA"/>
              </w:rPr>
              <w:t>分。</w:t>
            </w:r>
          </w:p>
          <w:p>
            <w:pPr>
              <w:widowControl w:val="0"/>
              <w:numPr>
                <w:ilvl w:val="0"/>
                <w:numId w:val="6"/>
              </w:numPr>
              <w:tabs>
                <w:tab w:val="left" w:pos="567"/>
              </w:tabs>
              <w:spacing w:after="0" w:line="360" w:lineRule="auto"/>
              <w:ind w:left="0" w:leftChars="0" w:firstLine="0" w:firstLineChars="0"/>
              <w:jc w:val="left"/>
              <w:rPr>
                <w:rFonts w:hint="eastAsia" w:ascii="宋体" w:hAnsi="宋体" w:eastAsia="宋体" w:cs="Courier New"/>
                <w:bCs/>
                <w:kern w:val="2"/>
                <w:sz w:val="21"/>
                <w:szCs w:val="21"/>
                <w:highlight w:val="none"/>
                <w:lang w:val="zh-CN" w:eastAsia="zh-CN" w:bidi="ar-SA"/>
              </w:rPr>
            </w:pPr>
            <w:r>
              <w:rPr>
                <w:rFonts w:hint="eastAsia" w:ascii="宋体" w:hAnsi="宋体" w:eastAsia="宋体" w:cs="Courier New"/>
                <w:bCs/>
                <w:kern w:val="2"/>
                <w:sz w:val="21"/>
                <w:szCs w:val="21"/>
                <w:highlight w:val="none"/>
                <w:lang w:val="zh-CN" w:eastAsia="zh-CN" w:bidi="ar-SA"/>
              </w:rPr>
              <w:t>售后服务方案内容满足项目基本需求的2分，</w:t>
            </w:r>
          </w:p>
          <w:p>
            <w:pPr>
              <w:widowControl w:val="0"/>
              <w:numPr>
                <w:ilvl w:val="0"/>
                <w:numId w:val="0"/>
              </w:numPr>
              <w:tabs>
                <w:tab w:val="left" w:pos="567"/>
              </w:tabs>
              <w:spacing w:after="0" w:line="360" w:lineRule="auto"/>
              <w:ind w:leftChars="0"/>
              <w:jc w:val="left"/>
              <w:rPr>
                <w:rFonts w:hint="eastAsia" w:ascii="Copperplate Gothic Bold" w:hAnsi="Copperplate Gothic Bold" w:eastAsia="宋体" w:cs="Times New Roman"/>
                <w:kern w:val="2"/>
                <w:sz w:val="21"/>
                <w:szCs w:val="21"/>
                <w:lang w:val="en-US" w:eastAsia="zh-CN" w:bidi="ar-SA"/>
              </w:rPr>
            </w:pPr>
            <w:r>
              <w:rPr>
                <w:rFonts w:hint="eastAsia" w:ascii="宋体" w:hAnsi="宋体" w:cs="Courier New"/>
                <w:bCs/>
                <w:kern w:val="2"/>
                <w:sz w:val="21"/>
                <w:szCs w:val="21"/>
                <w:highlight w:val="none"/>
                <w:lang w:val="en-US" w:eastAsia="zh-CN" w:bidi="ar-SA"/>
              </w:rPr>
              <w:t>4、</w:t>
            </w:r>
            <w:r>
              <w:rPr>
                <w:rFonts w:hint="eastAsia" w:ascii="宋体" w:hAnsi="宋体" w:eastAsia="宋体" w:cs="Courier New"/>
                <w:bCs/>
                <w:kern w:val="2"/>
                <w:sz w:val="21"/>
                <w:szCs w:val="21"/>
                <w:highlight w:val="none"/>
                <w:lang w:val="zh-CN" w:eastAsia="zh-CN" w:bidi="ar-SA"/>
              </w:rPr>
              <w:t>售后服务方案不提供或提供不完整的不得分</w:t>
            </w:r>
            <w:r>
              <w:rPr>
                <w:rFonts w:hint="eastAsia" w:ascii="宋体" w:hAnsi="宋体" w:eastAsia="宋体" w:cs="Courier New"/>
                <w:bCs/>
                <w:kern w:val="2"/>
                <w:sz w:val="21"/>
                <w:szCs w:val="21"/>
                <w:lang w:val="zh-CN" w:eastAsia="zh-CN" w:bidi="ar-SA"/>
              </w:rPr>
              <w:t>。</w:t>
            </w:r>
          </w:p>
        </w:tc>
        <w:tc>
          <w:tcPr>
            <w:tcW w:w="1103" w:type="dxa"/>
            <w:vAlign w:val="center"/>
          </w:tcPr>
          <w:p>
            <w:pPr>
              <w:tabs>
                <w:tab w:val="left" w:pos="851"/>
              </w:tabs>
              <w:spacing w:line="360" w:lineRule="auto"/>
              <w:ind w:right="-108"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投标供应商或所投产品制造商</w:t>
            </w:r>
            <w:r>
              <w:rPr>
                <w:rFonts w:hint="eastAsia" w:ascii="宋体" w:hAnsi="宋体" w:eastAsia="宋体" w:cs="Courier New"/>
                <w:bCs/>
                <w:kern w:val="2"/>
                <w:sz w:val="21"/>
                <w:szCs w:val="21"/>
                <w:lang w:val="zh-CN" w:eastAsia="zh-CN" w:bidi="ar-SA"/>
              </w:rPr>
              <w:t>在项目所在地设有售后服务机构，得</w:t>
            </w:r>
            <w:r>
              <w:rPr>
                <w:rFonts w:hint="eastAsia" w:ascii="宋体" w:hAnsi="宋体" w:eastAsia="宋体" w:cs="Courier New"/>
                <w:bCs/>
                <w:kern w:val="2"/>
                <w:sz w:val="21"/>
                <w:szCs w:val="21"/>
                <w:lang w:val="en-US" w:eastAsia="zh-CN" w:bidi="ar-SA"/>
              </w:rPr>
              <w:t>1</w:t>
            </w:r>
            <w:r>
              <w:rPr>
                <w:rFonts w:hint="eastAsia" w:ascii="宋体" w:hAnsi="宋体" w:eastAsia="宋体" w:cs="Courier New"/>
                <w:bCs/>
                <w:kern w:val="2"/>
                <w:sz w:val="21"/>
                <w:szCs w:val="21"/>
                <w:lang w:val="zh-CN" w:eastAsia="zh-CN" w:bidi="ar-SA"/>
              </w:rPr>
              <w:t>分；(以供应商与当地服务机构签订的服务协议为准、维修机构的营业执照复印件及店面实景图，并详细提供售后服务人员名单)。</w:t>
            </w:r>
          </w:p>
        </w:tc>
        <w:tc>
          <w:tcPr>
            <w:tcW w:w="1103" w:type="dxa"/>
            <w:vAlign w:val="center"/>
          </w:tcPr>
          <w:p>
            <w:pPr>
              <w:adjustRightInd w:val="0"/>
              <w:snapToGrid w:val="0"/>
              <w:spacing w:line="360" w:lineRule="auto"/>
              <w:jc w:val="center"/>
              <w:outlineLvl w:val="0"/>
              <w:rPr>
                <w:rFonts w:hint="eastAsia" w:ascii="宋体" w:hAnsi="宋体" w:eastAsia="宋体" w:cs="宋体"/>
                <w:bCs/>
                <w:snapToGrid w:val="0"/>
                <w:color w:val="auto"/>
                <w:kern w:val="0"/>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keepNext w:val="0"/>
              <w:keepLines w:val="0"/>
              <w:widowControl/>
              <w:suppressLineNumbers w:val="0"/>
              <w:spacing w:line="360" w:lineRule="auto"/>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投标供应商获得《商品售后服务评价体系》（</w:t>
            </w:r>
            <w:r>
              <w:rPr>
                <w:rFonts w:hint="default" w:ascii="宋体" w:hAnsi="宋体" w:eastAsia="宋体" w:cs="宋体"/>
                <w:b w:val="0"/>
                <w:bCs w:val="0"/>
                <w:color w:val="000000"/>
                <w:kern w:val="2"/>
                <w:sz w:val="21"/>
                <w:szCs w:val="21"/>
                <w:lang w:val="en-US" w:eastAsia="zh-CN" w:bidi="ar-SA"/>
              </w:rPr>
              <w:t>GB/T27922-2011</w:t>
            </w:r>
            <w:r>
              <w:rPr>
                <w:rFonts w:hint="eastAsia" w:ascii="宋体" w:hAnsi="宋体" w:eastAsia="宋体" w:cs="宋体"/>
                <w:b w:val="0"/>
                <w:bCs w:val="0"/>
                <w:color w:val="000000"/>
                <w:kern w:val="2"/>
                <w:sz w:val="21"/>
                <w:szCs w:val="21"/>
                <w:lang w:val="en-US" w:eastAsia="zh-CN" w:bidi="ar-SA"/>
              </w:rPr>
              <w:t xml:space="preserve">）、 </w:t>
            </w:r>
          </w:p>
          <w:p>
            <w:pPr>
              <w:widowControl w:val="0"/>
              <w:spacing w:line="360" w:lineRule="auto"/>
              <w:jc w:val="both"/>
              <w:rPr>
                <w:rFonts w:hint="eastAsia" w:ascii="宋体" w:hAnsi="宋体" w:eastAsia="宋体" w:cs="Courier New"/>
                <w:bCs/>
                <w:kern w:val="2"/>
                <w:sz w:val="21"/>
                <w:szCs w:val="21"/>
                <w:lang w:val="zh-CN" w:eastAsia="zh-CN" w:bidi="ar-SA"/>
              </w:rPr>
            </w:pPr>
            <w:r>
              <w:rPr>
                <w:rFonts w:hint="eastAsia" w:ascii="宋体" w:hAnsi="宋体" w:eastAsia="宋体" w:cs="宋体"/>
                <w:b w:val="0"/>
                <w:bCs w:val="0"/>
                <w:color w:val="000000"/>
                <w:kern w:val="2"/>
                <w:sz w:val="21"/>
                <w:szCs w:val="21"/>
                <w:lang w:val="en-US" w:eastAsia="zh-CN" w:bidi="ar-SA"/>
              </w:rPr>
              <w:t>《售后服务体系完善程度认证评价规范》认证，达到五星级得1分，七星级的得2分、达到十二星级的得 4 分。</w:t>
            </w:r>
            <w:r>
              <w:rPr>
                <w:rFonts w:hint="eastAsia" w:ascii="宋体" w:hAnsi="宋体" w:eastAsia="宋体" w:cs="宋体"/>
                <w:color w:val="000000"/>
                <w:kern w:val="2"/>
                <w:sz w:val="21"/>
                <w:szCs w:val="21"/>
                <w:lang w:val="en-US" w:eastAsia="zh-CN" w:bidi="ar-SA"/>
              </w:rPr>
              <w:t>（备注：</w:t>
            </w:r>
            <w:r>
              <w:rPr>
                <w:rFonts w:hint="eastAsia" w:ascii="宋体" w:hAnsi="宋体" w:eastAsia="宋体" w:cs="宋体"/>
                <w:color w:val="000000"/>
                <w:kern w:val="2"/>
                <w:sz w:val="21"/>
                <w:szCs w:val="21"/>
                <w:lang w:val="zh-CN" w:eastAsia="zh-CN" w:bidi="ar-SA"/>
              </w:rPr>
              <w:t>提供证书复印件以及国家官方网站查询路径）</w:t>
            </w:r>
          </w:p>
        </w:tc>
        <w:tc>
          <w:tcPr>
            <w:tcW w:w="1103" w:type="dxa"/>
            <w:vAlign w:val="center"/>
          </w:tcPr>
          <w:p>
            <w:pPr>
              <w:adjustRightInd w:val="0"/>
              <w:snapToGrid w:val="0"/>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Times New Roman" w:hAnsi="宋体" w:eastAsia="宋体" w:cs="Times New Roman"/>
                <w:bCs/>
                <w:sz w:val="21"/>
                <w:szCs w:val="21"/>
                <w:lang w:val="en-US" w:eastAsia="zh-CN"/>
              </w:rPr>
              <w:t>4</w:t>
            </w:r>
            <w:r>
              <w:rPr>
                <w:rFonts w:hint="eastAsia" w:ascii="Times New Roman" w:hAnsi="宋体" w:eastAsia="宋体" w:cs="Times New Roman"/>
                <w:bCs/>
                <w:sz w:val="21"/>
                <w:szCs w:val="21"/>
              </w:rPr>
              <w:t>分</w:t>
            </w:r>
          </w:p>
        </w:tc>
      </w:tr>
    </w:tbl>
    <w:p>
      <w:pPr>
        <w:pStyle w:val="6"/>
        <w:ind w:firstLine="400"/>
        <w:rPr>
          <w:lang w:val="zh-CN"/>
        </w:rPr>
      </w:pPr>
    </w:p>
    <w:p>
      <w:pPr>
        <w:spacing w:line="480" w:lineRule="exact"/>
        <w:ind w:firstLine="420" w:firstLineChars="200"/>
        <w:rPr>
          <w:rFonts w:ascii="宋体" w:hAnsi="宋体" w:cs="宋体"/>
          <w:b/>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p>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hAnsi="宋体" w:cs="宋体"/>
          <w:b/>
          <w:szCs w:val="21"/>
        </w:rPr>
      </w:pPr>
      <w:r>
        <w:rPr>
          <w:rFonts w:hint="eastAsia" w:ascii="宋体" w:hAnsi="宋体" w:cs="宋体"/>
          <w:b/>
          <w:szCs w:val="21"/>
        </w:rPr>
        <w:t>（2）供应商提供的业绩证明材料要能清晰反映业绩评分的实质内容，否则磋商小组不予认可。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（3）以上评分项中要求供应商提供复印件或影印件等相关证明材料的，相关证明材料均须加盖供应商公章，否则该项均不得分。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书面形式要求供应商对所提交响应文件中不明确内容进行书面澄清或说明，或者对细微偏差进行补正。有关澄清说明与答复，供应商应以书面形式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3" w:firstLineChars="196"/>
        <w:rPr>
          <w:rFonts w:ascii="宋体" w:hAnsi="宋体"/>
          <w:b/>
          <w:bCs/>
          <w:szCs w:val="21"/>
        </w:rPr>
      </w:pPr>
      <w:r>
        <w:rPr>
          <w:rFonts w:hint="eastAsia" w:ascii="宋体" w:hAnsi="宋体"/>
          <w:b/>
          <w:bCs/>
          <w:szCs w:val="21"/>
        </w:rPr>
        <w:t>27、确定成交供应商</w:t>
      </w:r>
    </w:p>
    <w:p>
      <w:pPr>
        <w:widowControl/>
        <w:spacing w:line="500" w:lineRule="exact"/>
        <w:ind w:firstLine="420"/>
        <w:jc w:val="left"/>
        <w:rPr>
          <w:rStyle w:val="71"/>
          <w:color w:val="000000" w:themeColor="text1"/>
          <w:szCs w:val="21"/>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1"/>
          <w:rFonts w:hint="eastAsia"/>
          <w:color w:val="000000" w:themeColor="text1"/>
          <w:szCs w:val="21"/>
          <w:u w:val="none"/>
        </w:rPr>
        <w:t>不得将其推荐为成交候选人，依序递补，并再次对递补的供应商进行核查。</w:t>
      </w:r>
      <w:r>
        <w:rPr>
          <w:rStyle w:val="71"/>
          <w:rFonts w:hint="eastAsia"/>
          <w:color w:val="000000" w:themeColor="text1"/>
          <w:szCs w:val="21"/>
          <w:u w:val="none"/>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70"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70"/>
    </w:p>
    <w:p>
      <w:pPr>
        <w:widowControl/>
        <w:spacing w:line="500" w:lineRule="exact"/>
        <w:ind w:firstLine="420" w:firstLineChars="200"/>
        <w:jc w:val="left"/>
        <w:rPr>
          <w:rFonts w:ascii="宋体" w:hAnsi="宋体" w:cs="宋体"/>
          <w:szCs w:val="21"/>
        </w:rPr>
      </w:pPr>
      <w:bookmarkStart w:id="71" w:name="_Toc13514"/>
      <w:bookmarkStart w:id="72" w:name="_Toc476584427"/>
      <w:r>
        <w:rPr>
          <w:rFonts w:hint="eastAsia" w:ascii="宋体" w:hAnsi="宋体" w:cs="宋体"/>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71"/>
      <w:bookmarkEnd w:id="72"/>
    </w:p>
    <w:p>
      <w:pPr>
        <w:widowControl/>
        <w:spacing w:line="500" w:lineRule="exact"/>
        <w:ind w:firstLine="420" w:firstLineChars="200"/>
        <w:jc w:val="left"/>
        <w:rPr>
          <w:rFonts w:ascii="宋体" w:hAnsi="宋体" w:cs="宋体"/>
        </w:rPr>
      </w:pPr>
      <w:r>
        <w:rPr>
          <w:rFonts w:hint="eastAsia" w:ascii="宋体" w:hAnsi="宋体" w:cs="宋体"/>
          <w:szCs w:val="21"/>
        </w:rPr>
        <w:t>29.4.1、成交人应在收到缴费通知后三日内按磋商文件要求缴纳服务费</w:t>
      </w:r>
      <w:r>
        <w:rPr>
          <w:rFonts w:hint="eastAsia" w:ascii="宋体" w:hAnsi="宋体"/>
          <w:szCs w:val="21"/>
        </w:rPr>
        <w:t>，完成缴费</w:t>
      </w:r>
      <w:r>
        <w:rPr>
          <w:rFonts w:hint="eastAsia" w:ascii="宋体" w:hAnsi="宋体" w:cs="宋体"/>
        </w:rPr>
        <w:t>后请在7个工作日内前来开具增值税发票，逾期按普票开具，不再开具专票。</w:t>
      </w:r>
    </w:p>
    <w:p>
      <w:pPr>
        <w:widowControl/>
        <w:spacing w:line="500" w:lineRule="exact"/>
        <w:ind w:firstLine="422" w:firstLineChars="200"/>
        <w:jc w:val="left"/>
        <w:rPr>
          <w:rFonts w:ascii="宋体" w:hAnsi="宋体" w:eastAsia="宋体" w:cs="宋体"/>
          <w:b/>
          <w:bCs/>
          <w:szCs w:val="21"/>
        </w:rPr>
      </w:pPr>
      <w:bookmarkStart w:id="73" w:name="_Toc15032"/>
      <w:bookmarkStart w:id="74" w:name="_Toc26993"/>
      <w:bookmarkStart w:id="75" w:name="_Toc418517858"/>
      <w:bookmarkStart w:id="76" w:name="_Toc417655921"/>
      <w:bookmarkStart w:id="77" w:name="_Toc3764"/>
      <w:r>
        <w:rPr>
          <w:rFonts w:hint="eastAsia" w:ascii="宋体" w:hAnsi="宋体" w:eastAsia="宋体" w:cs="宋体"/>
          <w:b/>
          <w:bCs/>
          <w:szCs w:val="21"/>
        </w:rPr>
        <w:t>27.4.2、服务费按差额定率累进法计算。以成交价计算基数，按下表约定的货物标准</w:t>
      </w:r>
      <w:r>
        <w:rPr>
          <w:rFonts w:hint="eastAsia" w:ascii="宋体" w:hAnsi="宋体" w:eastAsia="宋体" w:cs="宋体"/>
          <w:b/>
          <w:bCs/>
          <w:szCs w:val="21"/>
          <w:lang w:val="en-US" w:eastAsia="zh-CN"/>
        </w:rPr>
        <w:t>进行</w:t>
      </w:r>
      <w:r>
        <w:rPr>
          <w:rFonts w:hint="eastAsia" w:ascii="宋体" w:hAnsi="宋体" w:eastAsia="宋体" w:cs="宋体"/>
          <w:b/>
          <w:bCs/>
          <w:szCs w:val="21"/>
        </w:rPr>
        <w:t>收取。</w:t>
      </w:r>
    </w:p>
    <w:tbl>
      <w:tblPr>
        <w:tblStyle w:val="6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eastAsia="宋体" w:cs="宋体"/>
                <w:szCs w:val="21"/>
              </w:rPr>
            </w:pPr>
            <w:r>
              <w:rPr>
                <w:rFonts w:ascii="宋体" w:hAnsi="宋体" w:eastAsia="宋体" w:cs="宋体"/>
                <w:szCs w:val="21"/>
              </w:rPr>
              <w:pict>
                <v:line id="Line 2" o:spid="_x0000_s1027"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ANh0K94wEAAOwDAAAOAAAAZHJzL2Uyb0RvYy54bWytU01v&#10;2zAMvQ/YfxB0b5y4S5EYcXpo1l2KLcC2H6DItC1AXxCVOPn3o2Qv7bpLDvVBpkTqke+R2jyejWYn&#10;CKicrfliNucMrHSNsl3Nf/96vltxhlHYRmhnoeYXQP64/fxpM/gKStc73UBgBGKxGnzN+xh9VRQo&#10;ezACZ86DJWfrghGRtqErmiAGQje6KOfzh2JwofHBSUCk093o5BNiuAXQta2SsHPyaMDGETWAFpEo&#10;Ya888m2utm1Bxh9tixCZrjkxjXmlJGQf0lpsN6LqgvC9klMJ4pYS3nEyQllKeoXaiSjYMaj/oIyS&#10;waFr40w6U4xEsiLEYjF/p83PXnjIXEhq9FfR8eNg5ffTPjDV1LzkzApDDX9RFliZlBk8VhTwZPdh&#10;2qHfh0Tz3AaT/kSAnbOal6uacI5M0uFiVa4WD0vOJPm+rO/v18sEWrze9gHjN3CGJaPmmhJnEcXp&#10;BeMY+jckJdOWDTVfL8uEKWj0Wmo5mcZT+Wi7fBedVs2z0jrdwNAdnnRgJ5Han7+phH/CUpKdwH6M&#10;y64UJqoeRPPVNixePAlj6T3wVIKBhjMN9HySlSOjUPqWSGKvbYKGPJwTzyT0KG2yDq65UFOOPqiu&#10;J10WuebkoSHIAk4Dm6bs7Z7st490+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DYdCveMB&#10;AADsAwAADgAAAAAAAAABACAAAAAmAQAAZHJzL2Uyb0RvYy54bWxQSwUGAAAAAAYABgBZAQAAewUA&#10;AAAA&#10;">
                  <v:path arrowok="t"/>
                  <v:fill on="f" focussize="0,0"/>
                  <v:stroke color="#000000" joinstyle="round"/>
                  <v:imagedata o:title=""/>
                  <o:lock v:ext="edit" aspectratio="f"/>
                </v:line>
              </w:pict>
            </w:r>
            <w:r>
              <w:rPr>
                <w:rFonts w:hint="eastAsia" w:ascii="宋体" w:hAnsi="宋体" w:eastAsia="宋体" w:cs="宋体"/>
                <w:szCs w:val="21"/>
              </w:rPr>
              <w:t xml:space="preserve">          费率</w:t>
            </w:r>
          </w:p>
          <w:p>
            <w:pPr>
              <w:rPr>
                <w:rFonts w:ascii="宋体" w:hAnsi="宋体" w:eastAsia="宋体" w:cs="宋体"/>
                <w:szCs w:val="21"/>
              </w:rPr>
            </w:pPr>
            <w:r>
              <w:rPr>
                <w:rFonts w:hint="eastAsia" w:ascii="宋体" w:hAnsi="宋体" w:eastAsia="宋体" w:cs="宋体"/>
                <w:szCs w:val="21"/>
              </w:rPr>
              <w:t>成交价</w:t>
            </w:r>
          </w:p>
        </w:tc>
        <w:tc>
          <w:tcPr>
            <w:tcW w:w="1755" w:type="dxa"/>
            <w:vAlign w:val="center"/>
          </w:tcPr>
          <w:p>
            <w:pPr>
              <w:ind w:firstLine="105" w:firstLineChars="50"/>
              <w:jc w:val="center"/>
              <w:rPr>
                <w:rFonts w:ascii="宋体" w:hAnsi="宋体" w:eastAsia="宋体" w:cs="宋体"/>
                <w:szCs w:val="21"/>
              </w:rPr>
            </w:pPr>
            <w:r>
              <w:rPr>
                <w:rFonts w:hint="eastAsia" w:ascii="宋体" w:hAnsi="宋体" w:eastAsia="宋体" w:cs="宋体"/>
                <w:szCs w:val="21"/>
              </w:rPr>
              <w:t>货物招标</w:t>
            </w:r>
          </w:p>
        </w:tc>
        <w:tc>
          <w:tcPr>
            <w:tcW w:w="1682" w:type="dxa"/>
            <w:vAlign w:val="center"/>
          </w:tcPr>
          <w:p>
            <w:pPr>
              <w:jc w:val="center"/>
              <w:rPr>
                <w:rFonts w:ascii="宋体" w:hAnsi="宋体" w:eastAsia="宋体" w:cs="宋体"/>
                <w:szCs w:val="21"/>
              </w:rPr>
            </w:pPr>
            <w:r>
              <w:rPr>
                <w:rFonts w:hint="eastAsia" w:ascii="宋体" w:hAnsi="宋体" w:eastAsia="宋体" w:cs="宋体"/>
                <w:szCs w:val="21"/>
              </w:rPr>
              <w:t>服务招标</w:t>
            </w:r>
          </w:p>
        </w:tc>
        <w:tc>
          <w:tcPr>
            <w:tcW w:w="2186" w:type="dxa"/>
            <w:vAlign w:val="center"/>
          </w:tcPr>
          <w:p>
            <w:pPr>
              <w:jc w:val="center"/>
              <w:rPr>
                <w:rFonts w:ascii="宋体" w:hAnsi="宋体" w:eastAsia="宋体" w:cs="宋体"/>
                <w:szCs w:val="21"/>
              </w:rPr>
            </w:pPr>
            <w:r>
              <w:rPr>
                <w:rFonts w:hint="eastAsia" w:ascii="宋体" w:hAnsi="宋体" w:eastAsia="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eastAsia="宋体" w:cs="宋体"/>
                <w:szCs w:val="21"/>
              </w:rPr>
            </w:pPr>
            <w:r>
              <w:rPr>
                <w:rFonts w:hint="eastAsia" w:ascii="宋体" w:hAnsi="宋体" w:eastAsia="宋体" w:cs="宋体"/>
                <w:szCs w:val="21"/>
              </w:rPr>
              <w:t>100万元以下</w:t>
            </w:r>
          </w:p>
        </w:tc>
        <w:tc>
          <w:tcPr>
            <w:tcW w:w="1755" w:type="dxa"/>
          </w:tcPr>
          <w:p>
            <w:pPr>
              <w:jc w:val="center"/>
              <w:rPr>
                <w:rFonts w:ascii="宋体" w:hAnsi="宋体" w:eastAsia="宋体" w:cs="宋体"/>
                <w:szCs w:val="21"/>
              </w:rPr>
            </w:pPr>
            <w:r>
              <w:rPr>
                <w:rFonts w:hint="eastAsia" w:ascii="宋体" w:hAnsi="宋体" w:eastAsia="宋体" w:cs="宋体"/>
                <w:kern w:val="0"/>
                <w:szCs w:val="21"/>
              </w:rPr>
              <w:t>1.5%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100～500万元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1.1%</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0.8%</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500～1000万元</w:t>
            </w:r>
          </w:p>
        </w:tc>
        <w:tc>
          <w:tcPr>
            <w:tcW w:w="1755" w:type="dxa"/>
          </w:tcPr>
          <w:p>
            <w:pPr>
              <w:jc w:val="center"/>
              <w:rPr>
                <w:rFonts w:ascii="宋体" w:hAnsi="宋体" w:eastAsia="宋体" w:cs="宋体"/>
                <w:szCs w:val="21"/>
              </w:rPr>
            </w:pPr>
            <w:r>
              <w:rPr>
                <w:rFonts w:hint="eastAsia" w:ascii="宋体" w:hAnsi="宋体" w:eastAsia="宋体" w:cs="宋体"/>
                <w:kern w:val="0"/>
                <w:szCs w:val="21"/>
              </w:rPr>
              <w:t>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0.45%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1000～5000万元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5000万元～1亿元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0.1%</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1～5亿元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szCs w:val="21"/>
              </w:rPr>
              <w:t>0.05%</w:t>
            </w:r>
          </w:p>
        </w:tc>
        <w:tc>
          <w:tcPr>
            <w:tcW w:w="1682" w:type="dxa"/>
          </w:tcPr>
          <w:p>
            <w:pPr>
              <w:jc w:val="center"/>
              <w:rPr>
                <w:rFonts w:ascii="宋体" w:hAnsi="宋体" w:eastAsia="宋体" w:cs="宋体"/>
                <w:szCs w:val="21"/>
              </w:rPr>
            </w:pPr>
            <w:r>
              <w:rPr>
                <w:rFonts w:hint="eastAsia" w:ascii="宋体" w:hAnsi="宋体" w:eastAsia="宋体" w:cs="宋体"/>
                <w:szCs w:val="21"/>
              </w:rPr>
              <w:t>0.05%</w:t>
            </w:r>
          </w:p>
        </w:tc>
        <w:tc>
          <w:tcPr>
            <w:tcW w:w="2186" w:type="dxa"/>
          </w:tcPr>
          <w:p>
            <w:pPr>
              <w:jc w:val="center"/>
              <w:rPr>
                <w:rFonts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5～10亿元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c>
          <w:tcPr>
            <w:tcW w:w="1682" w:type="dxa"/>
          </w:tcPr>
          <w:p>
            <w:pPr>
              <w:jc w:val="center"/>
              <w:rPr>
                <w:rFonts w:ascii="宋体" w:hAnsi="宋体" w:eastAsia="宋体" w:cs="宋体"/>
                <w:szCs w:val="21"/>
              </w:rPr>
            </w:pPr>
            <w:r>
              <w:rPr>
                <w:rFonts w:hint="eastAsia" w:ascii="宋体" w:hAnsi="宋体" w:eastAsia="宋体" w:cs="宋体"/>
                <w:szCs w:val="21"/>
              </w:rPr>
              <w:t>0.035%</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10～50亿元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0.008%</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50～100亿元</w:t>
            </w:r>
          </w:p>
        </w:tc>
        <w:tc>
          <w:tcPr>
            <w:tcW w:w="1755" w:type="dxa"/>
          </w:tcPr>
          <w:p>
            <w:pPr>
              <w:jc w:val="center"/>
              <w:rPr>
                <w:rFonts w:ascii="宋体" w:hAnsi="宋体" w:eastAsia="宋体" w:cs="宋体"/>
                <w:szCs w:val="21"/>
              </w:rPr>
            </w:pPr>
            <w:r>
              <w:rPr>
                <w:rFonts w:hint="eastAsia" w:ascii="宋体" w:hAnsi="宋体" w:eastAsia="宋体" w:cs="宋体"/>
                <w:szCs w:val="21"/>
              </w:rPr>
              <w:t>0.006%</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0.006%</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eastAsia="宋体" w:cs="宋体"/>
                <w:szCs w:val="21"/>
              </w:rPr>
            </w:pPr>
            <w:r>
              <w:rPr>
                <w:rFonts w:hint="eastAsia" w:ascii="宋体" w:hAnsi="宋体" w:eastAsia="宋体" w:cs="宋体"/>
                <w:szCs w:val="21"/>
              </w:rPr>
              <w:t>100亿以上</w:t>
            </w:r>
          </w:p>
        </w:tc>
        <w:tc>
          <w:tcPr>
            <w:tcW w:w="1755" w:type="dxa"/>
          </w:tcPr>
          <w:p>
            <w:pPr>
              <w:jc w:val="center"/>
              <w:rPr>
                <w:rFonts w:ascii="宋体" w:hAnsi="宋体" w:eastAsia="宋体" w:cs="宋体"/>
                <w:szCs w:val="21"/>
              </w:rPr>
            </w:pPr>
            <w:r>
              <w:rPr>
                <w:rFonts w:hint="eastAsia" w:ascii="宋体" w:hAnsi="宋体" w:eastAsia="宋体" w:cs="宋体"/>
                <w:szCs w:val="21"/>
              </w:rPr>
              <w:t>0.004%</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0.004%</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0.004%</w:t>
            </w:r>
          </w:p>
        </w:tc>
      </w:tr>
    </w:tbl>
    <w:p>
      <w:pPr>
        <w:spacing w:line="360" w:lineRule="auto"/>
        <w:ind w:firstLine="210" w:firstLineChars="100"/>
        <w:rPr>
          <w:rFonts w:ascii="宋体" w:hAnsi="宋体" w:cs="宋体"/>
        </w:rPr>
      </w:pPr>
      <w:r>
        <w:rPr>
          <w:rFonts w:hint="eastAsia" w:ascii="宋体" w:hAnsi="宋体" w:cs="宋体"/>
        </w:rPr>
        <w:t xml:space="preserve"> </w:t>
      </w:r>
      <w:bookmarkStart w:id="78" w:name="_Toc4638"/>
      <w:bookmarkStart w:id="79" w:name="_Toc10691"/>
      <w:bookmarkStart w:id="80" w:name="_Toc476584428"/>
      <w:bookmarkStart w:id="81" w:name="_Toc15512"/>
      <w:bookmarkStart w:id="82" w:name="_Toc2498"/>
      <w:bookmarkStart w:id="83" w:name="_Toc21769"/>
      <w:bookmarkStart w:id="84" w:name="_Toc6762"/>
      <w:r>
        <w:rPr>
          <w:rFonts w:hint="eastAsia" w:ascii="宋体" w:hAnsi="宋体" w:cs="宋体"/>
        </w:rPr>
        <w:t>29.5、成交通知书</w:t>
      </w:r>
      <w:bookmarkEnd w:id="73"/>
      <w:bookmarkEnd w:id="74"/>
      <w:bookmarkEnd w:id="75"/>
      <w:bookmarkEnd w:id="76"/>
      <w:bookmarkEnd w:id="77"/>
      <w:bookmarkEnd w:id="78"/>
      <w:bookmarkEnd w:id="79"/>
      <w:bookmarkEnd w:id="80"/>
      <w:bookmarkEnd w:id="81"/>
      <w:bookmarkEnd w:id="82"/>
      <w:bookmarkEnd w:id="83"/>
      <w:bookmarkEnd w:id="84"/>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hint="eastAsia" w:ascii="宋体" w:hAnsi="宋体" w:eastAsia="宋体" w:cs="宋体"/>
          <w:kern w:val="2"/>
          <w:sz w:val="21"/>
          <w:szCs w:val="20"/>
        </w:rPr>
        <w:t>采购人在评审报告推荐的成交候选人中按顺序确定成交人。采购人将向成交人发出成交通</w:t>
      </w:r>
      <w:r>
        <w:rPr>
          <w:rFonts w:hint="eastAsia" w:ascii="宋体" w:hAnsi="宋体" w:eastAsia="宋体" w:cs="Times New Roman"/>
          <w:kern w:val="2"/>
          <w:sz w:val="21"/>
          <w:szCs w:val="21"/>
        </w:rPr>
        <w:t>知书，同时在安庆市皖宜项目咨询管理有限公司（http://wyxmzx.com/index.html）</w:t>
      </w:r>
      <w:r>
        <w:rPr>
          <w:rFonts w:hint="eastAsia" w:ascii="宋体" w:hAnsi="宋体" w:eastAsia="宋体" w:cs="Times New Roman"/>
          <w:kern w:val="2"/>
          <w:sz w:val="21"/>
          <w:szCs w:val="21"/>
          <w:lang w:eastAsia="zh-CN"/>
        </w:rPr>
        <w:t>安庆皖江高科技投资发展有限公司（http://www.wanjianggaoke.com/）、安庆经济技术开发区管委会（https://aqdz.anqing.gov.cn/）</w:t>
      </w:r>
      <w:r>
        <w:rPr>
          <w:rFonts w:hint="eastAsia" w:ascii="宋体" w:hAnsi="宋体" w:eastAsia="宋体" w:cs="Times New Roman"/>
          <w:kern w:val="2"/>
          <w:sz w:val="21"/>
          <w:szCs w:val="21"/>
        </w:rPr>
        <w:t>、公告成交结果。供应商如有质疑、投诉，必须在成交公告约定的质疑、投诉期内以书面形式向有关机构提出。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pStyle w:val="56"/>
        <w:widowControl w:val="0"/>
        <w:spacing w:before="0" w:beforeAutospacing="0" w:after="0" w:afterAutospacing="0" w:line="360" w:lineRule="auto"/>
        <w:ind w:firstLine="422" w:firstLineChars="200"/>
        <w:rPr>
          <w:rFonts w:ascii="宋体" w:hAnsi="宋体" w:eastAsia="宋体" w:cs="Times New Roman"/>
          <w:b/>
          <w:bCs/>
          <w:kern w:val="2"/>
          <w:sz w:val="21"/>
          <w:szCs w:val="21"/>
        </w:rPr>
      </w:pPr>
      <w:r>
        <w:rPr>
          <w:rFonts w:hint="eastAsia" w:ascii="宋体" w:hAnsi="宋体" w:eastAsia="宋体" w:cs="Times New Roman"/>
          <w:b/>
          <w:bCs/>
          <w:kern w:val="2"/>
          <w:sz w:val="21"/>
          <w:szCs w:val="21"/>
        </w:rPr>
        <w:t>七、合同授予</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85" w:name="_Toc3632"/>
      <w:bookmarkStart w:id="86" w:name="_Toc21358"/>
      <w:bookmarkStart w:id="87" w:name="_Toc16466"/>
      <w:bookmarkStart w:id="88" w:name="_Toc476584429"/>
      <w:bookmarkStart w:id="89" w:name="_Toc28577"/>
      <w:bookmarkStart w:id="90" w:name="_Toc418517860"/>
      <w:bookmarkStart w:id="91" w:name="_Toc15562"/>
      <w:bookmarkStart w:id="92" w:name="_Toc417655923"/>
      <w:bookmarkStart w:id="93" w:name="_Toc3930"/>
      <w:bookmarkStart w:id="94" w:name="_Toc24860"/>
      <w:bookmarkStart w:id="95" w:name="_Toc22183"/>
      <w:bookmarkStart w:id="96" w:name="_Toc18179"/>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85"/>
      <w:bookmarkEnd w:id="86"/>
      <w:bookmarkEnd w:id="87"/>
      <w:bookmarkEnd w:id="88"/>
      <w:bookmarkEnd w:id="89"/>
      <w:bookmarkEnd w:id="90"/>
      <w:bookmarkEnd w:id="91"/>
      <w:bookmarkEnd w:id="92"/>
      <w:bookmarkEnd w:id="93"/>
      <w:bookmarkEnd w:id="94"/>
      <w:bookmarkEnd w:id="95"/>
      <w:bookmarkEnd w:id="96"/>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、成交人在收到成交通知书起7个工作日内，与采购人签订合同。</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p>
    <w:p>
      <w:pPr>
        <w:pStyle w:val="56"/>
        <w:widowControl w:val="0"/>
        <w:spacing w:before="0" w:beforeAutospacing="0" w:after="0" w:afterAutospacing="0" w:line="360" w:lineRule="auto"/>
        <w:ind w:firstLine="420" w:firstLineChars="200"/>
        <w:rPr>
          <w:rFonts w:hint="eastAsia"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6"/>
        <w:widowControl w:val="0"/>
        <w:spacing w:before="0" w:beforeAutospacing="0" w:after="0" w:afterAutospacing="0" w:line="360" w:lineRule="auto"/>
        <w:ind w:firstLine="420" w:firstLineChars="200"/>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本项目不收取</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2、未尽事宜</w:t>
      </w:r>
    </w:p>
    <w:p>
      <w:pPr>
        <w:pStyle w:val="56"/>
        <w:widowControl w:val="0"/>
        <w:spacing w:before="0" w:beforeAutospacing="0" w:after="0" w:afterAutospacing="0" w:line="360" w:lineRule="auto"/>
        <w:ind w:firstLine="420" w:firstLineChars="200"/>
        <w:rPr>
          <w:rFonts w:ascii="宋体" w:cs="宋体"/>
          <w:b/>
          <w:bCs/>
          <w:snapToGrid w:val="0"/>
          <w:sz w:val="32"/>
          <w:szCs w:val="32"/>
        </w:rPr>
      </w:pPr>
      <w:r>
        <w:rPr>
          <w:rFonts w:hint="eastAsia" w:ascii="宋体" w:hAnsi="宋体" w:eastAsia="宋体" w:cs="Times New Roman"/>
          <w:kern w:val="2"/>
          <w:sz w:val="21"/>
          <w:szCs w:val="21"/>
        </w:rPr>
        <w:t>依据《政府采购竞争性磋商采购方式管理暂行办法》并参照《中华人民共和国政府采购法》、《中华人民共和国政府采购法实施条例》及其他有关法律法规规定执行。</w:t>
      </w:r>
    </w:p>
    <w:p>
      <w:pPr>
        <w:pStyle w:val="3"/>
        <w:pageBreakBefore/>
        <w:numPr>
          <w:ilvl w:val="0"/>
          <w:numId w:val="7"/>
        </w:numPr>
        <w:spacing w:before="62" w:beforeLines="20" w:after="62" w:afterLines="20" w:line="480" w:lineRule="exact"/>
        <w:ind w:firstLine="0" w:firstLineChars="0"/>
        <w:jc w:val="center"/>
        <w:rPr>
          <w:lang w:val="zh-CN"/>
        </w:rPr>
      </w:pPr>
      <w:bookmarkStart w:id="97" w:name="_Toc16555"/>
      <w:r>
        <w:rPr>
          <w:rFonts w:ascii="Arial" w:hAnsi="Arial"/>
          <w:kern w:val="2"/>
          <w:sz w:val="32"/>
          <w:szCs w:val="32"/>
        </w:rPr>
        <w:t xml:space="preserve"> </w:t>
      </w:r>
      <w:bookmarkStart w:id="98" w:name="_Toc439316879"/>
      <w:r>
        <w:rPr>
          <w:rFonts w:ascii="Arial" w:hAnsi="Arial"/>
          <w:kern w:val="2"/>
          <w:sz w:val="32"/>
          <w:szCs w:val="32"/>
          <w:lang w:val="zh-CN"/>
        </w:rPr>
        <w:t xml:space="preserve">  </w:t>
      </w:r>
      <w:bookmarkEnd w:id="97"/>
      <w:bookmarkEnd w:id="98"/>
      <w:r>
        <w:rPr>
          <w:rFonts w:hint="eastAsia" w:ascii="Arial" w:hAnsi="Arial"/>
          <w:kern w:val="2"/>
          <w:sz w:val="32"/>
          <w:szCs w:val="32"/>
          <w:lang w:val="zh-CN"/>
        </w:rPr>
        <w:t>货物需求及</w:t>
      </w:r>
      <w:r>
        <w:rPr>
          <w:rFonts w:hint="eastAsia" w:ascii="Arial" w:hAnsi="Arial"/>
          <w:kern w:val="2"/>
          <w:sz w:val="32"/>
          <w:szCs w:val="32"/>
          <w:lang w:val="en-US" w:eastAsia="zh-CN"/>
        </w:rPr>
        <w:t>参数</w:t>
      </w:r>
      <w:r>
        <w:rPr>
          <w:rFonts w:hint="eastAsia" w:ascii="Arial" w:hAnsi="Arial"/>
          <w:kern w:val="2"/>
          <w:sz w:val="32"/>
          <w:szCs w:val="32"/>
          <w:lang w:val="zh-CN"/>
        </w:rPr>
        <w:t>要求</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为鼓励不同品牌的充分竞争，如某设备的某技术参数或要求属于个别品牌专有，则该技术参数及要求不具有限制性，磋商响应人可对该参数或要求进行适当调整，但这种调整整体上要优于或相当于竞争性磋商文件的相关要求，并说明调整理由，且该调整须经磋商小组审核认可。</w:t>
      </w:r>
      <w:bookmarkStart w:id="99" w:name="_Toc24273"/>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100" w:name="_Toc28001"/>
      <w:r>
        <w:rPr>
          <w:rFonts w:hint="eastAsia" w:asciiTheme="majorEastAsia" w:hAnsiTheme="majorEastAsia" w:eastAsiaTheme="majorEastAsia" w:cstheme="majorEastAsia"/>
          <w:b/>
          <w:bCs/>
          <w:i w:val="0"/>
          <w:iCs w:val="0"/>
          <w:color w:val="000000"/>
          <w:kern w:val="0"/>
          <w:sz w:val="24"/>
          <w:szCs w:val="24"/>
          <w:u w:val="none"/>
          <w:lang w:val="en-US" w:eastAsia="zh-CN" w:bidi="ar"/>
        </w:rPr>
        <w:t>1、在采购活动开始前没有获准采购进口产品而开展采购活动的，视同为拒绝采购进口产品。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3、中标人提供的货物为进口产品的，供货时须向采购人提供所投进口产品的海关报关单等证明材料。</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bCs/>
          <w:color w:val="000000"/>
          <w:kern w:val="0"/>
          <w:sz w:val="24"/>
          <w:szCs w:val="24"/>
          <w:lang w:val="en-US" w:eastAsia="zh-CN" w:bidi="ar-SA"/>
        </w:rPr>
      </w:pPr>
      <w:r>
        <w:rPr>
          <w:rFonts w:hint="eastAsia" w:ascii="宋体" w:hAnsi="宋体" w:eastAsia="宋体" w:cs="宋体"/>
          <w:b/>
          <w:color w:val="000000"/>
          <w:kern w:val="0"/>
          <w:sz w:val="24"/>
          <w:szCs w:val="20"/>
          <w:lang w:val="en-US" w:eastAsia="zh-CN" w:bidi="ar-SA"/>
        </w:rPr>
        <w:t>一、</w:t>
      </w:r>
      <w:r>
        <w:rPr>
          <w:rFonts w:hint="eastAsia" w:ascii="宋体" w:hAnsi="宋体" w:eastAsia="宋体" w:cs="宋体"/>
          <w:b/>
          <w:bCs/>
          <w:color w:val="000000"/>
          <w:kern w:val="0"/>
          <w:sz w:val="24"/>
          <w:szCs w:val="24"/>
          <w:lang w:val="en-US" w:eastAsia="zh-CN" w:bidi="ar-SA"/>
        </w:rPr>
        <w:t>货物需求一览表</w:t>
      </w:r>
      <w:bookmarkEnd w:id="99"/>
      <w:bookmarkEnd w:id="100"/>
    </w:p>
    <w:tbl>
      <w:tblPr>
        <w:tblStyle w:val="61"/>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5"/>
        <w:gridCol w:w="6173"/>
        <w:gridCol w:w="672"/>
        <w:gridCol w:w="627"/>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0"/>
            <w:vAlign w:val="center"/>
          </w:tcPr>
          <w:p>
            <w:pPr>
              <w:jc w:val="center"/>
              <w:rPr>
                <w:rFonts w:ascii="宋体" w:hAnsi="宋体" w:eastAsia="宋体" w:cs="宋体"/>
                <w:b/>
                <w:bCs/>
                <w:sz w:val="24"/>
                <w:szCs w:val="24"/>
              </w:rPr>
            </w:pPr>
            <w:bookmarkStart w:id="101" w:name="_Toc8852"/>
            <w:bookmarkStart w:id="102" w:name="_Toc4579"/>
            <w:r>
              <w:rPr>
                <w:rFonts w:hint="eastAsia" w:ascii="宋体" w:hAnsi="宋体" w:eastAsia="宋体" w:cs="宋体"/>
                <w:b/>
                <w:bCs/>
                <w:sz w:val="24"/>
                <w:szCs w:val="24"/>
              </w:rPr>
              <w:t>序号</w:t>
            </w:r>
          </w:p>
        </w:tc>
        <w:tc>
          <w:tcPr>
            <w:tcW w:w="1425"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6173"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技术参数</w:t>
            </w:r>
          </w:p>
        </w:tc>
        <w:tc>
          <w:tcPr>
            <w:tcW w:w="672"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627"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609"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0"/>
            <w:vAlign w:val="center"/>
          </w:tcPr>
          <w:p>
            <w:pPr>
              <w:numPr>
                <w:ilvl w:val="0"/>
                <w:numId w:val="8"/>
              </w:numPr>
              <w:jc w:val="center"/>
              <w:rPr>
                <w:rFonts w:hint="eastAsia" w:ascii="宋体" w:hAnsi="宋体" w:eastAsia="宋体" w:cs="宋体"/>
                <w:sz w:val="24"/>
                <w:szCs w:val="24"/>
              </w:rPr>
            </w:pPr>
          </w:p>
        </w:tc>
        <w:tc>
          <w:tcPr>
            <w:tcW w:w="1425"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18吨洗扫车</w:t>
            </w:r>
          </w:p>
        </w:tc>
        <w:tc>
          <w:tcPr>
            <w:tcW w:w="6173" w:type="dxa"/>
            <w:noWrap w:val="0"/>
            <w:vAlign w:val="top"/>
          </w:tcPr>
          <w:p>
            <w:pPr>
              <w:shd w:val="clear" w:color="auto" w:fill="auto"/>
              <w:spacing w:line="360" w:lineRule="auto"/>
              <w:rPr>
                <w:rFonts w:hint="eastAsia" w:ascii="宋体" w:hAnsi="宋体" w:eastAsia="宋体" w:cs="宋体"/>
                <w:b/>
                <w:sz w:val="22"/>
                <w:szCs w:val="18"/>
                <w:highlight w:val="none"/>
                <w:lang w:val="en-US" w:eastAsia="zh-CN"/>
              </w:rPr>
            </w:pPr>
            <w:r>
              <w:rPr>
                <w:rFonts w:hint="eastAsia" w:ascii="宋体" w:hAnsi="宋体" w:eastAsia="宋体" w:cs="宋体"/>
                <w:b/>
                <w:sz w:val="22"/>
                <w:szCs w:val="18"/>
                <w:highlight w:val="none"/>
                <w:lang w:val="en-US" w:eastAsia="zh-CN"/>
              </w:rPr>
              <w:t>1、整车技术参数要求：</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★1、底盘：采用二类汽车底盘</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★2、排放标准：国VI</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★3、燃油类型：柴油</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★4、发动机功率(kw)：≥140kw</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5、整车长(mm)：≥8000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 xml:space="preserve">6、整车宽(mm)：≥2400 </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 xml:space="preserve">7、整车高(mm)：≥3100 </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8、总质量(kg)：≥18000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9、额定载质量(kg)：≥7400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10、整备质量(kg)：≥10000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11、轴距(mm)：≥4500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12、前悬(mm)：≤1330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13、后悬(mm)：≤2500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14、接近角/离去角（°）：≥18/11</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以上参数以国家工信部公告参数页为准。</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15、路面最大清扫宽度（m）：≥3.6</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16、副发动机功率:≥85kw</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17、垃圾箱容积（m³）：≥7</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18、清水箱容积（m³）：≥8</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19、高压水泵额定压力（MPa）：≥16</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20、高压水泵流量（L/min）：≥106</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21、具备路面清扫、路面洗刷、高压清洗、路缘石洗刷、垃圾收集、污水回收、喷雾和道路隔离墙清洗等多种作业功能。</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22、采用中置两立扫、吸嘴内置高压水喷杆、左右高压侧喷杆结构，吸嘴内配宽幅吸口，吸嘴内置高压水喷杆整体可快速拉出，便于调节与维修。</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23、左右高压侧喷杆上设置高压万向喷头，可对道路隔离墙、隔离墩进行冲洗，侧喷杆采用气缸控制。</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24、吸嘴提升机构采用双液压油缸直接提升与锁止，相对于气缸控制或单油缸控制效率更高。</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25、扫盘系统结构件为精制铸造件，非焊接件，保证扫盘系统作业可靠性。</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26、垃圾箱内设有高压清洗装置，卸料时可帮助缷出垃圾，并能清洗垃圾箱内壁。</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27、CAN总线与发动机实时通讯，作业过程根据负载实时匹配发动机转速，通过自诊断、预警处理，作业记录反馈功能，实现故障提前预警并自动显示故障，方便维修。</w:t>
            </w:r>
          </w:p>
          <w:p>
            <w:pPr>
              <w:spacing w:line="360" w:lineRule="auto"/>
              <w:rPr>
                <w:rFonts w:hint="eastAsia" w:ascii="宋体" w:hAnsi="宋体" w:eastAsia="宋体" w:cs="宋体"/>
                <w:b/>
                <w:bCs/>
                <w:sz w:val="24"/>
                <w:szCs w:val="24"/>
              </w:rPr>
            </w:pPr>
            <w:r>
              <w:rPr>
                <w:rFonts w:hint="eastAsia" w:ascii="宋体" w:hAnsi="宋体" w:eastAsia="宋体" w:cs="宋体"/>
                <w:strike w:val="0"/>
                <w:dstrike w:val="0"/>
                <w:sz w:val="21"/>
                <w:szCs w:val="16"/>
                <w:highlight w:val="none"/>
              </w:rPr>
              <w:t>带★为关键核心技术参数必须响应招标文件</w:t>
            </w:r>
          </w:p>
        </w:tc>
        <w:tc>
          <w:tcPr>
            <w:tcW w:w="672" w:type="dxa"/>
            <w:noWrap w:val="0"/>
            <w:vAlign w:val="center"/>
          </w:tcPr>
          <w:p>
            <w:pPr>
              <w:widowControl/>
              <w:snapToGrid w:val="0"/>
              <w:jc w:val="center"/>
              <w:rPr>
                <w:rFonts w:hint="eastAsia" w:ascii="宋体" w:hAnsi="宋体" w:eastAsia="宋体" w:cs="宋体"/>
                <w:b/>
                <w:bCs/>
                <w:sz w:val="24"/>
                <w:szCs w:val="24"/>
                <w:lang w:eastAsia="zh-CN"/>
              </w:rPr>
            </w:pPr>
            <w:r>
              <w:rPr>
                <w:rFonts w:hint="eastAsia" w:ascii="宋体" w:hAnsi="宋体" w:eastAsia="宋体" w:cs="宋体"/>
                <w:kern w:val="0"/>
                <w:sz w:val="21"/>
                <w:szCs w:val="21"/>
                <w:lang w:val="en-US" w:eastAsia="zh-CN"/>
              </w:rPr>
              <w:t>1</w:t>
            </w:r>
          </w:p>
        </w:tc>
        <w:tc>
          <w:tcPr>
            <w:tcW w:w="627" w:type="dxa"/>
            <w:noWrap w:val="0"/>
            <w:vAlign w:val="center"/>
          </w:tcPr>
          <w:p>
            <w:pPr>
              <w:widowControl/>
              <w:snapToGrid w:val="0"/>
              <w:jc w:val="center"/>
              <w:rPr>
                <w:rFonts w:hint="default" w:ascii="宋体" w:hAnsi="宋体" w:eastAsia="宋体" w:cs="宋体"/>
                <w:b/>
                <w:bCs/>
                <w:sz w:val="24"/>
                <w:szCs w:val="24"/>
                <w:lang w:val="en-US" w:eastAsia="zh-CN"/>
              </w:rPr>
            </w:pPr>
            <w:r>
              <w:rPr>
                <w:rFonts w:hint="eastAsia" w:ascii="宋体" w:hAnsi="宋体" w:eastAsia="宋体" w:cs="宋体"/>
                <w:kern w:val="0"/>
                <w:sz w:val="21"/>
                <w:szCs w:val="21"/>
                <w:lang w:val="en-US" w:eastAsia="zh-CN"/>
              </w:rPr>
              <w:t>辆</w:t>
            </w:r>
          </w:p>
        </w:tc>
        <w:tc>
          <w:tcPr>
            <w:tcW w:w="609" w:type="dxa"/>
            <w:noWrap w:val="0"/>
            <w:vAlign w:val="center"/>
          </w:tcPr>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34" w:type="dxa"/>
            <w:noWrap w:val="0"/>
            <w:vAlign w:val="center"/>
          </w:tcPr>
          <w:p>
            <w:pPr>
              <w:numPr>
                <w:ilvl w:val="0"/>
                <w:numId w:val="8"/>
              </w:numPr>
              <w:jc w:val="center"/>
              <w:rPr>
                <w:rFonts w:hint="eastAsia" w:ascii="宋体" w:hAnsi="宋体" w:eastAsia="宋体" w:cs="宋体"/>
                <w:sz w:val="24"/>
                <w:szCs w:val="24"/>
              </w:rPr>
            </w:pPr>
          </w:p>
        </w:tc>
        <w:tc>
          <w:tcPr>
            <w:tcW w:w="1425"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18吨高压清洗车</w:t>
            </w:r>
          </w:p>
        </w:tc>
        <w:tc>
          <w:tcPr>
            <w:tcW w:w="6173" w:type="dxa"/>
            <w:noWrap w:val="0"/>
            <w:vAlign w:val="top"/>
          </w:tcPr>
          <w:p>
            <w:pPr>
              <w:shd w:val="clear" w:color="auto" w:fill="auto"/>
              <w:spacing w:line="360" w:lineRule="auto"/>
              <w:rPr>
                <w:rFonts w:hint="eastAsia" w:ascii="宋体" w:hAnsi="宋体" w:eastAsia="宋体" w:cs="宋体"/>
                <w:b/>
                <w:sz w:val="22"/>
                <w:szCs w:val="18"/>
                <w:highlight w:val="none"/>
              </w:rPr>
            </w:pPr>
            <w:r>
              <w:rPr>
                <w:rFonts w:hint="eastAsia" w:ascii="宋体" w:hAnsi="宋体" w:eastAsia="宋体" w:cs="宋体"/>
                <w:b/>
                <w:sz w:val="22"/>
                <w:szCs w:val="18"/>
                <w:highlight w:val="none"/>
                <w:lang w:val="en-US" w:eastAsia="zh-CN"/>
              </w:rPr>
              <w:t>1</w:t>
            </w:r>
            <w:r>
              <w:rPr>
                <w:rFonts w:hint="eastAsia" w:ascii="宋体" w:hAnsi="宋体" w:eastAsia="宋体" w:cs="宋体"/>
                <w:b/>
                <w:sz w:val="22"/>
                <w:szCs w:val="18"/>
                <w:highlight w:val="none"/>
              </w:rPr>
              <w:t>、整车技术参数要求：</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★1、底盘：采用二类汽车底盘</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★2、排放标准：国VI</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★3、燃油类型：柴油</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★4、发动机功率(kw)：≥169kw</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5、整车长(mm)：≥9400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 xml:space="preserve">6、整车宽(mm)：≥2500 </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 xml:space="preserve">7、整车高(mm)：≥2900 </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8、总质量(kg)：≥18000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9、额定载质量(kg)：≥8700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10、整备质量(kg)：≥8900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11、轴距(mm)：≤4500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12、前悬/后悬(mm)：≤1400/2600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13、接近角/离去角（°）：≤10/12</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14、前轮距(mm)：≥2000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15、后轮距(mm)：≥1840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16、罐体容积(m³)：≥9</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以上参数以国家工信部公告参数页为准。</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18、最高清洗水压(MPa)：≥10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19、喷水架清洗宽度（m）：≥2.5</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20、喷水架偏角(°)：≥30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21、前冲洗宽度（m）：≥24</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22、后洒水宽度（m）：≥14</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23、副发动机功率（kw）：≥30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24、水路系统采用精密钢管数控弯管机自动成型钢管。</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25、具有独立的高低压两套清洗水路系统，采用副发动机驱动高压水泵及液压泵，底盘发动机驱动低压水泵，高压清洗速度任意控制。</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26、高压水泵：采用优质高压水泵。</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27、采用带自动压力保护的的高压水路控制装置，水泵卸荷阀自动开启，消除对水泵的冲击，大大提高了高压水泵的使用寿命。</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28、罐体内部采用国际知名材料防腐处理，最后采用高温烤漆的三涂层、三烘干的涂装体系。</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29、前喷水架：采用气控控制升降。</w:t>
            </w:r>
          </w:p>
          <w:p>
            <w:pPr>
              <w:snapToGrid w:val="0"/>
              <w:spacing w:line="360" w:lineRule="auto"/>
              <w:outlineLvl w:val="9"/>
              <w:rPr>
                <w:rFonts w:hint="eastAsia" w:ascii="宋体" w:hAnsi="宋体" w:eastAsia="宋体" w:cs="宋体"/>
                <w:b/>
                <w:bCs/>
                <w:sz w:val="24"/>
                <w:szCs w:val="24"/>
              </w:rPr>
            </w:pPr>
            <w:r>
              <w:rPr>
                <w:rFonts w:hint="eastAsia" w:ascii="宋体" w:hAnsi="宋体" w:eastAsia="宋体" w:cs="宋体"/>
                <w:strike w:val="0"/>
                <w:dstrike w:val="0"/>
                <w:color w:val="000000"/>
                <w:sz w:val="21"/>
                <w:szCs w:val="16"/>
                <w:highlight w:val="none"/>
              </w:rPr>
              <w:t>带★为关键核心技术参数必须响应招标文件</w:t>
            </w:r>
          </w:p>
        </w:tc>
        <w:tc>
          <w:tcPr>
            <w:tcW w:w="672" w:type="dxa"/>
            <w:noWrap w:val="0"/>
            <w:vAlign w:val="center"/>
          </w:tcPr>
          <w:p>
            <w:pPr>
              <w:widowControl/>
              <w:snapToGrid w:val="0"/>
              <w:jc w:val="center"/>
              <w:rPr>
                <w:rFonts w:hint="eastAsia" w:ascii="宋体" w:hAnsi="宋体" w:eastAsia="宋体" w:cs="宋体"/>
                <w:b/>
                <w:bCs/>
                <w:sz w:val="24"/>
                <w:szCs w:val="24"/>
                <w:lang w:eastAsia="zh-CN"/>
              </w:rPr>
            </w:pPr>
            <w:r>
              <w:rPr>
                <w:rFonts w:hint="eastAsia" w:ascii="宋体" w:hAnsi="宋体" w:eastAsia="宋体" w:cs="宋体"/>
                <w:kern w:val="0"/>
                <w:sz w:val="21"/>
                <w:szCs w:val="21"/>
                <w:lang w:val="en-US" w:eastAsia="zh-CN"/>
              </w:rPr>
              <w:t>1</w:t>
            </w:r>
          </w:p>
        </w:tc>
        <w:tc>
          <w:tcPr>
            <w:tcW w:w="627" w:type="dxa"/>
            <w:noWrap w:val="0"/>
            <w:vAlign w:val="center"/>
          </w:tcPr>
          <w:p>
            <w:pPr>
              <w:widowControl/>
              <w:snapToGrid w:val="0"/>
              <w:jc w:val="center"/>
              <w:rPr>
                <w:rFonts w:hint="eastAsia" w:ascii="宋体" w:hAnsi="宋体" w:eastAsia="宋体" w:cs="宋体"/>
                <w:b/>
                <w:bCs/>
                <w:sz w:val="24"/>
                <w:szCs w:val="24"/>
                <w:lang w:val="en-US" w:eastAsia="zh-CN"/>
              </w:rPr>
            </w:pPr>
            <w:r>
              <w:rPr>
                <w:rFonts w:hint="eastAsia" w:ascii="宋体" w:hAnsi="宋体" w:eastAsia="宋体" w:cs="宋体"/>
                <w:kern w:val="0"/>
                <w:sz w:val="21"/>
                <w:szCs w:val="21"/>
                <w:lang w:val="en-US" w:eastAsia="zh-CN"/>
              </w:rPr>
              <w:t>辆</w:t>
            </w:r>
          </w:p>
        </w:tc>
        <w:tc>
          <w:tcPr>
            <w:tcW w:w="609" w:type="dxa"/>
            <w:noWrap w:val="0"/>
            <w:vAlign w:val="center"/>
          </w:tcPr>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0"/>
            <w:vAlign w:val="center"/>
          </w:tcPr>
          <w:p>
            <w:pPr>
              <w:numPr>
                <w:ilvl w:val="0"/>
                <w:numId w:val="8"/>
              </w:numPr>
              <w:jc w:val="center"/>
              <w:rPr>
                <w:rFonts w:hint="eastAsia" w:ascii="宋体" w:hAnsi="宋体" w:eastAsia="宋体" w:cs="宋体"/>
                <w:sz w:val="24"/>
                <w:szCs w:val="24"/>
              </w:rPr>
            </w:pPr>
          </w:p>
        </w:tc>
        <w:tc>
          <w:tcPr>
            <w:tcW w:w="1425"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电动三轮翻桶车</w:t>
            </w:r>
          </w:p>
        </w:tc>
        <w:tc>
          <w:tcPr>
            <w:tcW w:w="6173" w:type="dxa"/>
            <w:noWrap w:val="0"/>
            <w:vAlign w:val="top"/>
          </w:tcPr>
          <w:p>
            <w:pPr>
              <w:shd w:val="clear" w:color="auto" w:fill="auto"/>
              <w:spacing w:line="360" w:lineRule="auto"/>
              <w:rPr>
                <w:rFonts w:hint="eastAsia"/>
                <w:lang w:val="en-US" w:eastAsia="zh-CN"/>
              </w:rPr>
            </w:pPr>
            <w:r>
              <w:rPr>
                <w:rFonts w:hint="eastAsia"/>
                <w:lang w:val="en-US" w:eastAsia="zh-CN"/>
              </w:rPr>
              <w:t>1、整车技术参数要求：</w:t>
            </w:r>
          </w:p>
          <w:p>
            <w:pPr>
              <w:numPr>
                <w:ilvl w:val="0"/>
                <w:numId w:val="9"/>
              </w:numPr>
              <w:ind w:left="0" w:leftChars="0" w:firstLineChars="0"/>
              <w:rPr>
                <w:rFonts w:hint="eastAsia"/>
              </w:rPr>
            </w:pPr>
            <w:r>
              <w:rPr>
                <w:rFonts w:hint="eastAsia"/>
              </w:rPr>
              <w:t>★箱宽</w:t>
            </w:r>
            <w:r>
              <w:rPr>
                <w:rFonts w:hint="eastAsia"/>
              </w:rPr>
              <w:tab/>
            </w:r>
            <w:r>
              <w:rPr>
                <w:rFonts w:hint="eastAsia"/>
                <w:lang w:eastAsia="zh-CN"/>
              </w:rPr>
              <w:t>：</w:t>
            </w:r>
            <w:r>
              <w:rPr>
                <w:rFonts w:hint="eastAsia"/>
              </w:rPr>
              <w:t>≥1.45米</w:t>
            </w:r>
          </w:p>
          <w:p>
            <w:pPr>
              <w:numPr>
                <w:ilvl w:val="0"/>
                <w:numId w:val="9"/>
              </w:numPr>
              <w:ind w:left="0" w:leftChars="0" w:firstLineChars="0"/>
              <w:rPr>
                <w:rFonts w:hint="eastAsia"/>
              </w:rPr>
            </w:pPr>
            <w:r>
              <w:rPr>
                <w:rFonts w:hint="eastAsia"/>
              </w:rPr>
              <w:t>★箱高</w:t>
            </w:r>
            <w:r>
              <w:rPr>
                <w:rFonts w:hint="eastAsia"/>
              </w:rPr>
              <w:tab/>
            </w:r>
            <w:r>
              <w:rPr>
                <w:rFonts w:hint="eastAsia"/>
                <w:lang w:eastAsia="zh-CN"/>
              </w:rPr>
              <w:t>：</w:t>
            </w:r>
            <w:r>
              <w:rPr>
                <w:rFonts w:hint="eastAsia"/>
              </w:rPr>
              <w:t>≥1.1米</w:t>
            </w:r>
          </w:p>
          <w:p>
            <w:pPr>
              <w:numPr>
                <w:ilvl w:val="0"/>
                <w:numId w:val="9"/>
              </w:numPr>
              <w:ind w:left="0" w:leftChars="0" w:firstLineChars="0"/>
              <w:rPr>
                <w:rFonts w:hint="eastAsia"/>
              </w:rPr>
            </w:pPr>
            <w:r>
              <w:rPr>
                <w:rFonts w:hint="eastAsia"/>
              </w:rPr>
              <w:t>★材料</w:t>
            </w:r>
            <w:r>
              <w:rPr>
                <w:rFonts w:hint="eastAsia"/>
                <w:lang w:eastAsia="zh-CN"/>
              </w:rPr>
              <w:t>：</w:t>
            </w:r>
            <w:r>
              <w:rPr>
                <w:rFonts w:hint="eastAsia"/>
              </w:rPr>
              <w:t>不锈钢箱体</w:t>
            </w:r>
          </w:p>
          <w:p>
            <w:pPr>
              <w:numPr>
                <w:ilvl w:val="0"/>
                <w:numId w:val="9"/>
              </w:numPr>
              <w:ind w:left="0" w:leftChars="0" w:firstLineChars="0"/>
              <w:rPr>
                <w:rFonts w:hint="eastAsia"/>
              </w:rPr>
            </w:pPr>
            <w:r>
              <w:rPr>
                <w:rFonts w:hint="eastAsia"/>
              </w:rPr>
              <w:t>整车质量</w:t>
            </w:r>
            <w:r>
              <w:rPr>
                <w:rFonts w:hint="eastAsia"/>
              </w:rPr>
              <w:tab/>
            </w:r>
            <w:r>
              <w:rPr>
                <w:rFonts w:hint="eastAsia"/>
                <w:lang w:eastAsia="zh-CN"/>
              </w:rPr>
              <w:t>：</w:t>
            </w:r>
            <w:r>
              <w:rPr>
                <w:rFonts w:hint="eastAsia"/>
              </w:rPr>
              <w:t>1.5T（含电池）</w:t>
            </w:r>
          </w:p>
          <w:p>
            <w:pPr>
              <w:numPr>
                <w:ilvl w:val="0"/>
                <w:numId w:val="9"/>
              </w:numPr>
              <w:ind w:left="0" w:leftChars="0" w:firstLineChars="0"/>
              <w:rPr>
                <w:rFonts w:hint="eastAsia"/>
              </w:rPr>
            </w:pPr>
            <w:r>
              <w:rPr>
                <w:rFonts w:hint="eastAsia"/>
              </w:rPr>
              <w:t>额定载荷</w:t>
            </w:r>
            <w:r>
              <w:rPr>
                <w:rFonts w:hint="eastAsia"/>
              </w:rPr>
              <w:tab/>
            </w:r>
            <w:r>
              <w:rPr>
                <w:rFonts w:hint="eastAsia"/>
                <w:lang w:eastAsia="zh-CN"/>
              </w:rPr>
              <w:t>：</w:t>
            </w:r>
            <w:r>
              <w:rPr>
                <w:rFonts w:hint="eastAsia"/>
              </w:rPr>
              <w:t>1.5T</w:t>
            </w:r>
          </w:p>
          <w:p>
            <w:pPr>
              <w:numPr>
                <w:ilvl w:val="0"/>
                <w:numId w:val="9"/>
              </w:numPr>
              <w:ind w:left="0" w:leftChars="0" w:firstLineChars="0"/>
              <w:rPr>
                <w:rFonts w:hint="eastAsia"/>
              </w:rPr>
            </w:pPr>
            <w:r>
              <w:rPr>
                <w:rFonts w:hint="eastAsia"/>
              </w:rPr>
              <w:t>最高速度</w:t>
            </w:r>
            <w:r>
              <w:rPr>
                <w:rFonts w:hint="eastAsia"/>
              </w:rPr>
              <w:tab/>
            </w:r>
            <w:r>
              <w:rPr>
                <w:rFonts w:hint="eastAsia"/>
                <w:lang w:eastAsia="zh-CN"/>
              </w:rPr>
              <w:t>：</w:t>
            </w:r>
            <w:r>
              <w:rPr>
                <w:rFonts w:hint="eastAsia"/>
              </w:rPr>
              <w:t>≤40KM/h</w:t>
            </w:r>
          </w:p>
          <w:p>
            <w:pPr>
              <w:numPr>
                <w:ilvl w:val="0"/>
                <w:numId w:val="9"/>
              </w:numPr>
              <w:ind w:left="0" w:leftChars="0" w:firstLineChars="0"/>
              <w:rPr>
                <w:rFonts w:hint="eastAsia"/>
              </w:rPr>
            </w:pPr>
            <w:r>
              <w:rPr>
                <w:rFonts w:hint="eastAsia"/>
              </w:rPr>
              <w:t>★续航里程</w:t>
            </w:r>
            <w:r>
              <w:rPr>
                <w:rFonts w:hint="eastAsia"/>
              </w:rPr>
              <w:tab/>
            </w:r>
            <w:r>
              <w:rPr>
                <w:rFonts w:hint="eastAsia"/>
                <w:lang w:eastAsia="zh-CN"/>
              </w:rPr>
              <w:t>：</w:t>
            </w:r>
            <w:r>
              <w:rPr>
                <w:rFonts w:hint="eastAsia"/>
              </w:rPr>
              <w:t>≥50KM</w:t>
            </w:r>
          </w:p>
          <w:p>
            <w:pPr>
              <w:numPr>
                <w:ilvl w:val="0"/>
                <w:numId w:val="9"/>
              </w:numPr>
              <w:ind w:left="0" w:leftChars="0" w:firstLineChars="0"/>
              <w:rPr>
                <w:rFonts w:hint="eastAsia"/>
              </w:rPr>
            </w:pPr>
            <w:r>
              <w:rPr>
                <w:rFonts w:hint="eastAsia"/>
              </w:rPr>
              <w:t>电池</w:t>
            </w:r>
            <w:r>
              <w:rPr>
                <w:rFonts w:hint="eastAsia"/>
                <w:lang w:eastAsia="zh-CN"/>
              </w:rPr>
              <w:t>：</w:t>
            </w:r>
            <w:r>
              <w:rPr>
                <w:rFonts w:hint="eastAsia"/>
              </w:rPr>
              <w:t>72V加液电池（质保一年）</w:t>
            </w:r>
          </w:p>
          <w:p>
            <w:pPr>
              <w:numPr>
                <w:ilvl w:val="0"/>
                <w:numId w:val="9"/>
              </w:numPr>
              <w:ind w:left="0" w:leftChars="0" w:firstLineChars="0"/>
              <w:rPr>
                <w:rFonts w:hint="eastAsia"/>
              </w:rPr>
            </w:pPr>
            <w:r>
              <w:rPr>
                <w:rFonts w:hint="eastAsia"/>
              </w:rPr>
              <w:t>电机</w:t>
            </w:r>
            <w:r>
              <w:rPr>
                <w:rFonts w:hint="eastAsia"/>
                <w:lang w:eastAsia="zh-CN"/>
              </w:rPr>
              <w:t>：</w:t>
            </w:r>
            <w:r>
              <w:rPr>
                <w:rFonts w:hint="eastAsia"/>
              </w:rPr>
              <w:t>72V/ 3000W 六相永磁同步电机（质保一年）</w:t>
            </w:r>
          </w:p>
          <w:p>
            <w:pPr>
              <w:numPr>
                <w:ilvl w:val="0"/>
                <w:numId w:val="9"/>
              </w:numPr>
              <w:ind w:left="0" w:leftChars="0" w:firstLineChars="0"/>
              <w:rPr>
                <w:rFonts w:hint="eastAsia"/>
              </w:rPr>
            </w:pPr>
            <w:r>
              <w:rPr>
                <w:rFonts w:hint="eastAsia"/>
              </w:rPr>
              <w:t>控制器</w:t>
            </w:r>
            <w:r>
              <w:rPr>
                <w:rFonts w:hint="eastAsia"/>
                <w:lang w:eastAsia="zh-CN"/>
              </w:rPr>
              <w:t>：</w:t>
            </w:r>
            <w:r>
              <w:rPr>
                <w:rFonts w:hint="eastAsia"/>
              </w:rPr>
              <w:t>72V/ 3000W 六相永磁同步控制器（质保一年）</w:t>
            </w:r>
          </w:p>
          <w:p>
            <w:pPr>
              <w:numPr>
                <w:ilvl w:val="0"/>
                <w:numId w:val="9"/>
              </w:numPr>
              <w:ind w:left="0" w:leftChars="0" w:firstLineChars="0"/>
              <w:rPr>
                <w:rFonts w:hint="eastAsia"/>
              </w:rPr>
            </w:pPr>
            <w:r>
              <w:rPr>
                <w:rFonts w:hint="eastAsia"/>
              </w:rPr>
              <w:t>充电机</w:t>
            </w:r>
            <w:r>
              <w:rPr>
                <w:rFonts w:hint="eastAsia"/>
                <w:lang w:eastAsia="zh-CN"/>
              </w:rPr>
              <w:t>：</w:t>
            </w:r>
            <w:r>
              <w:rPr>
                <w:rFonts w:hint="eastAsia"/>
              </w:rPr>
              <w:t>便携式高频智能型（质保一年）</w:t>
            </w:r>
          </w:p>
          <w:p>
            <w:pPr>
              <w:numPr>
                <w:ilvl w:val="0"/>
                <w:numId w:val="9"/>
              </w:numPr>
              <w:ind w:left="0" w:leftChars="0" w:firstLineChars="0"/>
              <w:rPr>
                <w:rFonts w:hint="eastAsia"/>
              </w:rPr>
            </w:pPr>
            <w:r>
              <w:rPr>
                <w:rFonts w:hint="eastAsia"/>
              </w:rPr>
              <w:t>座椅</w:t>
            </w:r>
            <w:r>
              <w:rPr>
                <w:rFonts w:hint="eastAsia"/>
                <w:lang w:eastAsia="zh-CN"/>
              </w:rPr>
              <w:t>：</w:t>
            </w:r>
            <w:r>
              <w:rPr>
                <w:rFonts w:hint="eastAsia"/>
              </w:rPr>
              <w:t>皮革座椅，皮革靠垫</w:t>
            </w:r>
          </w:p>
          <w:p>
            <w:pPr>
              <w:numPr>
                <w:ilvl w:val="0"/>
                <w:numId w:val="9"/>
              </w:numPr>
              <w:ind w:left="0" w:leftChars="0" w:firstLineChars="0"/>
              <w:rPr>
                <w:rFonts w:hint="eastAsia"/>
              </w:rPr>
            </w:pPr>
            <w:r>
              <w:rPr>
                <w:rFonts w:hint="eastAsia"/>
              </w:rPr>
              <w:t>后视镜</w:t>
            </w:r>
            <w:r>
              <w:rPr>
                <w:rFonts w:hint="eastAsia"/>
                <w:lang w:eastAsia="zh-CN"/>
              </w:rPr>
              <w:t>：</w:t>
            </w:r>
            <w:r>
              <w:rPr>
                <w:rFonts w:hint="eastAsia"/>
              </w:rPr>
              <w:t>360无死角后视镜</w:t>
            </w:r>
          </w:p>
          <w:p>
            <w:pPr>
              <w:numPr>
                <w:ilvl w:val="0"/>
                <w:numId w:val="9"/>
              </w:numPr>
              <w:ind w:left="0" w:leftChars="0" w:firstLineChars="0"/>
              <w:rPr>
                <w:rFonts w:hint="eastAsia"/>
              </w:rPr>
            </w:pPr>
            <w:r>
              <w:rPr>
                <w:rFonts w:hint="eastAsia"/>
              </w:rPr>
              <w:t>灯光及信号</w:t>
            </w:r>
            <w:r>
              <w:rPr>
                <w:rFonts w:hint="eastAsia"/>
                <w:lang w:eastAsia="zh-CN"/>
              </w:rPr>
              <w:t>：</w:t>
            </w:r>
            <w:r>
              <w:rPr>
                <w:rFonts w:hint="eastAsia"/>
              </w:rPr>
              <w:t>LED大灯+转向灯+刹车灯+倒车报警器</w:t>
            </w:r>
          </w:p>
          <w:p>
            <w:pPr>
              <w:numPr>
                <w:ilvl w:val="0"/>
                <w:numId w:val="9"/>
              </w:numPr>
              <w:ind w:left="0" w:leftChars="0" w:firstLineChars="0"/>
              <w:rPr>
                <w:rFonts w:hint="eastAsia"/>
              </w:rPr>
            </w:pPr>
            <w:r>
              <w:rPr>
                <w:rFonts w:hint="eastAsia"/>
              </w:rPr>
              <w:t>车漆及颜色</w:t>
            </w:r>
            <w:r>
              <w:rPr>
                <w:rFonts w:hint="eastAsia"/>
                <w:lang w:eastAsia="zh-CN"/>
              </w:rPr>
              <w:t>：</w:t>
            </w:r>
            <w:r>
              <w:rPr>
                <w:rFonts w:hint="eastAsia"/>
              </w:rPr>
              <w:t>采用国内知名品牌漆，可以根据客户需要定制喷色方案</w:t>
            </w:r>
          </w:p>
          <w:p>
            <w:pPr>
              <w:numPr>
                <w:ilvl w:val="0"/>
                <w:numId w:val="9"/>
              </w:numPr>
              <w:ind w:left="0" w:leftChars="0" w:firstLineChars="0"/>
              <w:rPr>
                <w:rFonts w:hint="eastAsia"/>
              </w:rPr>
            </w:pPr>
            <w:r>
              <w:rPr>
                <w:rFonts w:hint="eastAsia"/>
              </w:rPr>
              <w:t>后桥</w:t>
            </w:r>
            <w:r>
              <w:rPr>
                <w:rFonts w:hint="eastAsia"/>
                <w:lang w:eastAsia="zh-CN"/>
              </w:rPr>
              <w:t>：</w:t>
            </w:r>
            <w:r>
              <w:rPr>
                <w:rFonts w:hint="eastAsia"/>
              </w:rPr>
              <w:t>加重型后桥（齿轮箱质保一年）</w:t>
            </w:r>
          </w:p>
          <w:p>
            <w:pPr>
              <w:numPr>
                <w:ilvl w:val="0"/>
                <w:numId w:val="9"/>
              </w:numPr>
              <w:ind w:left="0" w:leftChars="0" w:firstLineChars="0"/>
              <w:rPr>
                <w:rFonts w:hint="eastAsia"/>
              </w:rPr>
            </w:pPr>
            <w:r>
              <w:rPr>
                <w:rFonts w:hint="eastAsia"/>
              </w:rPr>
              <w:t>车架</w:t>
            </w:r>
            <w:r>
              <w:rPr>
                <w:rFonts w:hint="eastAsia"/>
                <w:lang w:eastAsia="zh-CN"/>
              </w:rPr>
              <w:t>：</w:t>
            </w:r>
            <w:r>
              <w:rPr>
                <w:rFonts w:hint="eastAsia"/>
              </w:rPr>
              <w:t>采用框架式结构，主梁采用内撑加强结构矩形管，高强度碳钢</w:t>
            </w:r>
          </w:p>
          <w:p>
            <w:pPr>
              <w:numPr>
                <w:ilvl w:val="0"/>
                <w:numId w:val="9"/>
              </w:numPr>
              <w:ind w:left="0" w:leftChars="0" w:firstLineChars="0"/>
              <w:rPr>
                <w:rFonts w:hint="eastAsia"/>
              </w:rPr>
            </w:pPr>
            <w:r>
              <w:rPr>
                <w:rFonts w:hint="eastAsia"/>
              </w:rPr>
              <w:t>轮胎</w:t>
            </w:r>
            <w:r>
              <w:rPr>
                <w:rFonts w:hint="eastAsia"/>
                <w:lang w:eastAsia="zh-CN"/>
              </w:rPr>
              <w:t>：</w:t>
            </w:r>
            <w:r>
              <w:rPr>
                <w:rFonts w:hint="eastAsia"/>
              </w:rPr>
              <w:t>耐磨损，使用寿命长，前450-12 / 后轮胎500-12 真空胎</w:t>
            </w:r>
          </w:p>
          <w:p>
            <w:pPr>
              <w:numPr>
                <w:ilvl w:val="0"/>
                <w:numId w:val="9"/>
              </w:numPr>
              <w:ind w:left="0" w:leftChars="0" w:firstLineChars="0"/>
              <w:rPr>
                <w:rFonts w:hint="eastAsia"/>
              </w:rPr>
            </w:pPr>
            <w:r>
              <w:rPr>
                <w:rFonts w:hint="eastAsia"/>
              </w:rPr>
              <w:t>制动系统</w:t>
            </w:r>
            <w:r>
              <w:rPr>
                <w:rFonts w:hint="eastAsia"/>
                <w:lang w:eastAsia="zh-CN"/>
              </w:rPr>
              <w:t>：</w:t>
            </w:r>
            <w:r>
              <w:rPr>
                <w:rFonts w:hint="eastAsia"/>
              </w:rPr>
              <w:t>油刹式制动+驻车制动装置</w:t>
            </w:r>
          </w:p>
          <w:p>
            <w:pPr>
              <w:numPr>
                <w:ilvl w:val="0"/>
                <w:numId w:val="9"/>
              </w:numPr>
              <w:ind w:left="0" w:leftChars="0" w:firstLineChars="0"/>
              <w:rPr>
                <w:rFonts w:hint="eastAsia"/>
              </w:rPr>
            </w:pPr>
            <w:r>
              <w:rPr>
                <w:rFonts w:hint="eastAsia"/>
              </w:rPr>
              <w:t>悬挂系统</w:t>
            </w:r>
            <w:r>
              <w:rPr>
                <w:rFonts w:hint="eastAsia"/>
                <w:lang w:eastAsia="zh-CN"/>
              </w:rPr>
              <w:t>：</w:t>
            </w:r>
            <w:r>
              <w:rPr>
                <w:rFonts w:hint="eastAsia"/>
              </w:rPr>
              <w:t>前双筒式液压减震器，后双路4排钢板</w:t>
            </w:r>
          </w:p>
          <w:p>
            <w:pPr>
              <w:numPr>
                <w:ilvl w:val="0"/>
                <w:numId w:val="9"/>
              </w:numPr>
              <w:ind w:left="0" w:leftChars="0" w:firstLineChars="0"/>
              <w:rPr>
                <w:rFonts w:hint="eastAsia"/>
              </w:rPr>
            </w:pPr>
            <w:r>
              <w:rPr>
                <w:rFonts w:hint="eastAsia"/>
              </w:rPr>
              <w:t>速度控制系统</w:t>
            </w:r>
            <w:r>
              <w:rPr>
                <w:rFonts w:hint="eastAsia"/>
                <w:lang w:eastAsia="zh-CN"/>
              </w:rPr>
              <w:t>：</w:t>
            </w:r>
            <w:r>
              <w:rPr>
                <w:rFonts w:hint="eastAsia"/>
              </w:rPr>
              <w:t>无级变速（电机直接驱动）</w:t>
            </w:r>
          </w:p>
          <w:p>
            <w:pPr>
              <w:numPr>
                <w:ilvl w:val="0"/>
                <w:numId w:val="0"/>
              </w:numPr>
              <w:ind w:leftChars="0"/>
              <w:rPr>
                <w:rFonts w:hint="eastAsia"/>
              </w:rPr>
            </w:pPr>
            <w:r>
              <w:rPr>
                <w:rFonts w:hint="eastAsia"/>
              </w:rPr>
              <w:t>带★为关键核心技术参数必须响应招标文件</w:t>
            </w:r>
          </w:p>
        </w:tc>
        <w:tc>
          <w:tcPr>
            <w:tcW w:w="672" w:type="dxa"/>
            <w:noWrap w:val="0"/>
            <w:vAlign w:val="center"/>
          </w:tcPr>
          <w:p>
            <w:pPr>
              <w:widowControl/>
              <w:snapToGrid w:val="0"/>
              <w:jc w:val="center"/>
              <w:rPr>
                <w:rFonts w:hint="eastAsia" w:ascii="宋体" w:hAnsi="宋体" w:eastAsia="宋体" w:cs="宋体"/>
                <w:b/>
                <w:bCs/>
                <w:sz w:val="24"/>
                <w:szCs w:val="24"/>
                <w:lang w:eastAsia="zh-CN"/>
              </w:rPr>
            </w:pPr>
            <w:r>
              <w:rPr>
                <w:rFonts w:hint="eastAsia" w:ascii="宋体" w:hAnsi="宋体" w:eastAsia="宋体" w:cs="宋体"/>
                <w:kern w:val="0"/>
                <w:sz w:val="21"/>
                <w:szCs w:val="21"/>
                <w:lang w:val="en-US" w:eastAsia="zh-CN"/>
              </w:rPr>
              <w:t>1</w:t>
            </w:r>
          </w:p>
        </w:tc>
        <w:tc>
          <w:tcPr>
            <w:tcW w:w="627"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辆</w:t>
            </w:r>
          </w:p>
        </w:tc>
        <w:tc>
          <w:tcPr>
            <w:tcW w:w="609" w:type="dxa"/>
            <w:noWrap w:val="0"/>
            <w:vAlign w:val="center"/>
          </w:tcPr>
          <w:p>
            <w:pPr>
              <w:jc w:val="center"/>
              <w:rPr>
                <w:rFonts w:hint="eastAsia" w:ascii="宋体" w:hAnsi="宋体" w:eastAsia="宋体" w:cs="宋体"/>
                <w:b/>
                <w:bCs/>
                <w:sz w:val="24"/>
                <w:szCs w:val="24"/>
              </w:rPr>
            </w:pPr>
          </w:p>
        </w:tc>
      </w:tr>
    </w:tbl>
    <w:p>
      <w:pPr>
        <w:keepNext/>
        <w:keepLines/>
        <w:widowControl w:val="0"/>
        <w:wordWrap w:val="0"/>
        <w:autoSpaceDE w:val="0"/>
        <w:autoSpaceDN w:val="0"/>
        <w:adjustRightInd w:val="0"/>
        <w:spacing w:line="440" w:lineRule="exact"/>
        <w:ind w:firstLine="472" w:firstLineChars="196"/>
        <w:jc w:val="left"/>
        <w:outlineLvl w:val="2"/>
        <w:rPr>
          <w:rFonts w:hint="default"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注：最高限价115万为3辆车的裸车价格，不含上牌及保险费用。</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highlight w:val="none"/>
          <w:lang w:val="en-US" w:eastAsia="zh-CN" w:bidi="ar-SA"/>
        </w:rPr>
      </w:pPr>
      <w:r>
        <w:rPr>
          <w:rFonts w:hint="eastAsia" w:ascii="宋体" w:hAnsi="宋体" w:eastAsia="宋体" w:cs="宋体"/>
          <w:b/>
          <w:color w:val="000000"/>
          <w:kern w:val="0"/>
          <w:sz w:val="24"/>
          <w:szCs w:val="24"/>
          <w:highlight w:val="none"/>
          <w:lang w:val="en-US" w:eastAsia="zh-CN" w:bidi="ar-SA"/>
        </w:rPr>
        <w:t>二、人员培训要求</w:t>
      </w:r>
      <w:bookmarkEnd w:id="101"/>
      <w:bookmarkEnd w:id="102"/>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货物安装、调试、验收合格后，成交人应对采购人的相关人员进行免费现场培训。培训内容包括基本操作、保养维修、常见故障及解决办法等。</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103" w:name="_Toc21193"/>
      <w:bookmarkStart w:id="104" w:name="_Toc8808"/>
      <w:r>
        <w:rPr>
          <w:rFonts w:hint="eastAsia" w:ascii="宋体" w:hAnsi="宋体" w:eastAsia="宋体" w:cs="宋体"/>
          <w:b/>
          <w:color w:val="000000"/>
          <w:kern w:val="0"/>
          <w:sz w:val="24"/>
          <w:szCs w:val="24"/>
          <w:lang w:val="en-US" w:eastAsia="zh-CN" w:bidi="ar-SA"/>
        </w:rPr>
        <w:t>三、货物质量及售后服务要求</w:t>
      </w:r>
      <w:bookmarkEnd w:id="103"/>
      <w:bookmarkEnd w:id="104"/>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2、保修及售后服务：依据商品的保修条款及售后服务条款，提供原厂质保，质保期按照国家规定，且不低于所供品牌向用户承诺的质保期限，竞争性</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文件另有约定的从其约定。质保期从货物验收合格后算起。</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105" w:name="_Toc23093"/>
      <w:bookmarkStart w:id="106" w:name="_Toc466"/>
      <w:r>
        <w:rPr>
          <w:rFonts w:hint="eastAsia" w:ascii="宋体" w:hAnsi="宋体" w:eastAsia="宋体" w:cs="宋体"/>
          <w:b/>
          <w:color w:val="000000"/>
          <w:kern w:val="0"/>
          <w:sz w:val="24"/>
          <w:szCs w:val="24"/>
          <w:lang w:val="en-US" w:eastAsia="zh-CN" w:bidi="ar-SA"/>
        </w:rPr>
        <w:t>四、验收</w:t>
      </w:r>
      <w:bookmarkEnd w:id="105"/>
      <w:bookmarkEnd w:id="106"/>
    </w:p>
    <w:p>
      <w:pPr>
        <w:pStyle w:val="2"/>
      </w:pPr>
      <w:r>
        <w:rPr>
          <w:rFonts w:hint="eastAsia" w:ascii="宋体" w:hAnsi="宋体" w:eastAsia="宋体" w:cs="宋体"/>
          <w:color w:val="000000"/>
          <w:sz w:val="24"/>
          <w:szCs w:val="24"/>
        </w:rPr>
        <w:t xml:space="preserve">    成交人和采购人双方共同实施验收工作，结果和验收报告经双方确认后生效。</w:t>
      </w:r>
    </w:p>
    <w:p>
      <w:pPr>
        <w:pStyle w:val="3"/>
        <w:keepNext w:val="0"/>
        <w:pageBreakBefore/>
        <w:tabs>
          <w:tab w:val="clear" w:pos="1440"/>
          <w:tab w:val="clear" w:pos="5670"/>
        </w:tabs>
        <w:spacing w:beforeLines="0" w:afterLines="0"/>
        <w:ind w:firstLine="2570" w:firstLineChars="800"/>
        <w:rPr>
          <w:rFonts w:ascii="宋体" w:hAnsi="Times New Roman" w:eastAsia="宋体" w:cs="宋体"/>
        </w:rPr>
      </w:pPr>
      <w:bookmarkStart w:id="107" w:name="_Toc15663"/>
      <w:r>
        <w:rPr>
          <w:rFonts w:hint="eastAsia" w:ascii="Arial" w:hAnsi="Arial"/>
          <w:kern w:val="2"/>
          <w:sz w:val="32"/>
          <w:szCs w:val="32"/>
        </w:rPr>
        <w:t>第四章</w:t>
      </w:r>
      <w:r>
        <w:rPr>
          <w:rFonts w:ascii="Arial" w:hAnsi="Arial"/>
          <w:kern w:val="2"/>
          <w:sz w:val="32"/>
          <w:szCs w:val="32"/>
        </w:rPr>
        <w:t xml:space="preserve">    </w:t>
      </w:r>
      <w:bookmarkEnd w:id="107"/>
      <w:bookmarkStart w:id="108" w:name="_Toc10479"/>
      <w:bookmarkStart w:id="109" w:name="_Toc476584431"/>
      <w:r>
        <w:rPr>
          <w:rFonts w:hint="eastAsia" w:ascii="Arial" w:hAnsi="Arial" w:cs="Times New Roman"/>
          <w:kern w:val="2"/>
          <w:sz w:val="32"/>
          <w:szCs w:val="32"/>
        </w:rPr>
        <w:t>合同主要条款</w:t>
      </w:r>
      <w:bookmarkEnd w:id="108"/>
      <w:bookmarkEnd w:id="109"/>
    </w:p>
    <w:p>
      <w:pPr>
        <w:tabs>
          <w:tab w:val="left" w:pos="3640"/>
        </w:tabs>
        <w:autoSpaceDE w:val="0"/>
        <w:autoSpaceDN w:val="0"/>
        <w:spacing w:line="360" w:lineRule="auto"/>
        <w:rPr>
          <w:rFonts w:ascii="宋体" w:hAnsi="宋体" w:eastAsia="宋体" w:cs="宋体"/>
          <w:szCs w:val="21"/>
          <w:u w:val="single"/>
        </w:rPr>
      </w:pPr>
      <w:r>
        <w:rPr>
          <w:rFonts w:hint="eastAsia" w:ascii="宋体" w:hAnsi="宋体" w:eastAsia="宋体" w:cs="宋体"/>
          <w:szCs w:val="21"/>
        </w:rPr>
        <w:t>买方（采购人）：</w:t>
      </w:r>
      <w:r>
        <w:rPr>
          <w:rFonts w:hint="eastAsia" w:ascii="宋体" w:hAnsi="宋体" w:eastAsia="宋体" w:cs="宋体"/>
          <w:szCs w:val="21"/>
          <w:u w:val="single"/>
        </w:rPr>
        <w:t xml:space="preserve">                           </w:t>
      </w:r>
    </w:p>
    <w:p>
      <w:pPr>
        <w:tabs>
          <w:tab w:val="left" w:pos="3640"/>
        </w:tabs>
        <w:autoSpaceDE w:val="0"/>
        <w:autoSpaceDN w:val="0"/>
        <w:spacing w:line="360" w:lineRule="auto"/>
        <w:rPr>
          <w:rFonts w:ascii="宋体" w:hAnsi="宋体" w:eastAsia="宋体" w:cs="宋体"/>
          <w:szCs w:val="21"/>
          <w:u w:val="single"/>
        </w:rPr>
      </w:pPr>
      <w:r>
        <w:rPr>
          <w:rFonts w:hint="eastAsia" w:ascii="宋体" w:hAnsi="宋体" w:eastAsia="宋体" w:cs="宋体"/>
          <w:szCs w:val="21"/>
        </w:rPr>
        <w:t>卖方（成交人）：</w:t>
      </w:r>
      <w:r>
        <w:rPr>
          <w:rFonts w:hint="eastAsia" w:ascii="宋体" w:hAnsi="宋体" w:eastAsia="宋体" w:cs="宋体"/>
          <w:szCs w:val="21"/>
          <w:u w:val="single"/>
        </w:rPr>
        <w:t xml:space="preserve">                           </w:t>
      </w:r>
    </w:p>
    <w:p>
      <w:pPr>
        <w:tabs>
          <w:tab w:val="left" w:pos="3640"/>
        </w:tabs>
        <w:autoSpaceDE w:val="0"/>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根据《中华人民共和国民法典》及</w:t>
      </w:r>
      <w:r>
        <w:rPr>
          <w:rFonts w:hint="eastAsia" w:ascii="宋体" w:hAnsi="宋体" w:eastAsia="宋体" w:cs="宋体"/>
          <w:szCs w:val="21"/>
          <w:u w:val="single"/>
        </w:rPr>
        <w:t xml:space="preserve">                                （项目名称）</w:t>
      </w:r>
      <w:r>
        <w:rPr>
          <w:rFonts w:hint="eastAsia" w:ascii="宋体" w:hAnsi="宋体" w:eastAsia="宋体" w:cs="宋体"/>
          <w:szCs w:val="21"/>
        </w:rPr>
        <w:t>的竞争性磋商文件、磋商响应文件等，买、卖双方经协商一致，签订如下合同条款，并共同遵守。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eastAsia="宋体" w:cs="宋体"/>
          <w:b/>
          <w:szCs w:val="21"/>
        </w:rPr>
      </w:pPr>
      <w:r>
        <w:rPr>
          <w:rFonts w:hint="eastAsia" w:ascii="宋体" w:hAnsi="宋体" w:eastAsia="宋体" w:cs="宋体"/>
          <w:b/>
          <w:szCs w:val="21"/>
        </w:rPr>
        <w:t>一、货物名称、生产厂家、品牌、数量及金额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生产厂家、品牌、型号</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宋体"/>
                <w:szCs w:val="21"/>
              </w:rPr>
            </w:pPr>
            <w:r>
              <w:rPr>
                <w:rFonts w:hint="eastAsia" w:ascii="宋体" w:hAnsi="宋体" w:eastAsia="宋体" w:cs="宋体"/>
                <w:szCs w:val="21"/>
              </w:rPr>
              <w:t>总价：</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tc>
      </w:tr>
    </w:tbl>
    <w:p>
      <w:pPr>
        <w:tabs>
          <w:tab w:val="left" w:pos="3640"/>
        </w:tabs>
        <w:autoSpaceDE w:val="0"/>
        <w:autoSpaceDN w:val="0"/>
        <w:spacing w:line="360" w:lineRule="auto"/>
        <w:ind w:firstLine="454" w:firstLineChars="200"/>
        <w:rPr>
          <w:rFonts w:ascii="宋体" w:hAnsi="宋体" w:eastAsia="宋体" w:cs="宋体"/>
          <w:b/>
          <w:spacing w:val="8"/>
          <w:szCs w:val="21"/>
        </w:rPr>
      </w:pPr>
      <w:r>
        <w:rPr>
          <w:rFonts w:hint="eastAsia" w:ascii="宋体" w:hAnsi="宋体" w:eastAsia="宋体" w:cs="宋体"/>
          <w:b/>
          <w:spacing w:val="8"/>
          <w:szCs w:val="21"/>
        </w:rPr>
        <w:t>本合同所列货物首先须满足竞争性磋商文件要求，其次与成交单位的磋商响应文件一致。</w:t>
      </w:r>
    </w:p>
    <w:p>
      <w:pPr>
        <w:tabs>
          <w:tab w:val="left" w:pos="3640"/>
        </w:tabs>
        <w:autoSpaceDE w:val="0"/>
        <w:autoSpaceDN w:val="0"/>
        <w:spacing w:line="360" w:lineRule="auto"/>
        <w:ind w:firstLine="454" w:firstLineChars="200"/>
        <w:rPr>
          <w:rFonts w:ascii="宋体" w:hAnsi="宋体" w:eastAsia="宋体" w:cs="宋体"/>
          <w:spacing w:val="8"/>
          <w:szCs w:val="21"/>
        </w:rPr>
      </w:pPr>
      <w:r>
        <w:rPr>
          <w:rFonts w:hint="eastAsia" w:ascii="宋体" w:hAnsi="宋体" w:eastAsia="宋体" w:cs="宋体"/>
          <w:b/>
          <w:spacing w:val="8"/>
          <w:szCs w:val="21"/>
        </w:rPr>
        <w:t>二、保修及售后服务</w:t>
      </w:r>
      <w:r>
        <w:rPr>
          <w:rFonts w:hint="eastAsia" w:ascii="宋体" w:hAnsi="宋体" w:eastAsia="宋体" w:cs="宋体"/>
          <w:spacing w:val="8"/>
          <w:szCs w:val="21"/>
        </w:rPr>
        <w:t>：依据商品的保修条款、售后服务条款，竞争性磋商文件另有要求的从其</w:t>
      </w:r>
      <w:r>
        <w:rPr>
          <w:rFonts w:hint="eastAsia" w:ascii="宋体" w:hAnsi="宋体" w:eastAsia="宋体" w:cs="宋体"/>
          <w:szCs w:val="21"/>
        </w:rPr>
        <w:t>约定</w:t>
      </w:r>
      <w:r>
        <w:rPr>
          <w:rFonts w:hint="eastAsia" w:ascii="宋体" w:hAnsi="宋体" w:eastAsia="宋体" w:cs="宋体"/>
          <w:spacing w:val="8"/>
          <w:szCs w:val="21"/>
        </w:rPr>
        <w:t>。</w:t>
      </w:r>
    </w:p>
    <w:p>
      <w:pPr>
        <w:tabs>
          <w:tab w:val="left" w:pos="3640"/>
        </w:tabs>
        <w:autoSpaceDE w:val="0"/>
        <w:autoSpaceDN w:val="0"/>
        <w:spacing w:line="360" w:lineRule="auto"/>
        <w:ind w:firstLine="422" w:firstLineChars="200"/>
        <w:rPr>
          <w:rFonts w:ascii="宋体" w:hAnsi="宋体" w:eastAsia="宋体" w:cs="宋体"/>
          <w:b/>
          <w:szCs w:val="21"/>
        </w:rPr>
      </w:pPr>
      <w:r>
        <w:rPr>
          <w:rFonts w:hint="eastAsia" w:ascii="宋体" w:hAnsi="宋体" w:eastAsia="宋体" w:cs="宋体"/>
          <w:b/>
          <w:szCs w:val="21"/>
        </w:rPr>
        <w:t>三、交货、安装、调试期：</w:t>
      </w:r>
      <w:r>
        <w:rPr>
          <w:rFonts w:hint="eastAsia" w:ascii="宋体" w:hAnsi="宋体" w:eastAsia="宋体" w:cs="宋体"/>
          <w:b/>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szCs w:val="21"/>
        </w:rPr>
      </w:pPr>
      <w:r>
        <w:rPr>
          <w:rFonts w:hint="eastAsia" w:ascii="宋体" w:hAnsi="宋体" w:eastAsia="宋体" w:cs="宋体"/>
          <w:b/>
          <w:szCs w:val="21"/>
        </w:rPr>
        <w:t>四、交货地点：</w:t>
      </w:r>
      <w:r>
        <w:rPr>
          <w:rFonts w:hint="eastAsia" w:ascii="宋体" w:hAnsi="宋体" w:eastAsia="宋体" w:cs="宋体"/>
          <w:b/>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rPr>
      </w:pPr>
      <w:r>
        <w:rPr>
          <w:rFonts w:hint="eastAsia" w:ascii="宋体" w:hAnsi="宋体" w:eastAsia="宋体" w:cs="宋体"/>
          <w:b/>
          <w:szCs w:val="21"/>
        </w:rPr>
        <w:t>五、</w:t>
      </w:r>
      <w:r>
        <w:rPr>
          <w:rFonts w:hint="eastAsia" w:ascii="宋体" w:hAnsi="宋体" w:eastAsia="宋体" w:cs="宋体"/>
          <w:b/>
        </w:rPr>
        <w:t>验　　收：</w:t>
      </w:r>
      <w:r>
        <w:rPr>
          <w:rFonts w:hint="eastAsia" w:ascii="宋体" w:hAnsi="宋体" w:eastAsia="宋体" w:cs="宋体"/>
          <w:bCs/>
          <w:u w:val="single"/>
        </w:rPr>
        <w:t xml:space="preserve">                                                                    </w:t>
      </w:r>
    </w:p>
    <w:p>
      <w:pPr>
        <w:spacing w:line="360" w:lineRule="auto"/>
        <w:ind w:firstLine="422" w:firstLineChars="200"/>
        <w:rPr>
          <w:rFonts w:ascii="宋体" w:hAnsi="宋体" w:eastAsia="宋体" w:cs="宋体"/>
          <w:szCs w:val="21"/>
        </w:rPr>
      </w:pPr>
      <w:r>
        <w:rPr>
          <w:rFonts w:hint="eastAsia" w:ascii="宋体" w:hAnsi="宋体" w:eastAsia="宋体" w:cs="宋体"/>
          <w:b/>
          <w:szCs w:val="21"/>
        </w:rPr>
        <w:t>六、付款方式：</w:t>
      </w:r>
      <w:r>
        <w:rPr>
          <w:rFonts w:hint="eastAsia" w:ascii="宋体" w:hAnsi="宋体" w:eastAsia="宋体" w:cs="宋体"/>
          <w:b/>
          <w:szCs w:val="21"/>
          <w:u w:val="single"/>
        </w:rPr>
        <w:t xml:space="preserve">                                                                     </w:t>
      </w:r>
    </w:p>
    <w:p>
      <w:pPr>
        <w:spacing w:line="360" w:lineRule="auto"/>
        <w:ind w:firstLine="422" w:firstLineChars="200"/>
        <w:rPr>
          <w:rFonts w:ascii="宋体" w:hAnsi="宋体" w:eastAsia="宋体" w:cs="宋体"/>
          <w:b/>
          <w:szCs w:val="21"/>
        </w:rPr>
      </w:pPr>
      <w:r>
        <w:rPr>
          <w:rFonts w:hint="eastAsia" w:ascii="宋体" w:hAnsi="宋体" w:eastAsia="宋体" w:cs="宋体"/>
          <w:b/>
          <w:szCs w:val="21"/>
        </w:rPr>
        <w:t>七、履约保证金退还：</w:t>
      </w:r>
    </w:p>
    <w:p>
      <w:pPr>
        <w:spacing w:line="360" w:lineRule="auto"/>
        <w:ind w:firstLine="454" w:firstLineChars="200"/>
        <w:rPr>
          <w:rFonts w:ascii="宋体" w:hAnsi="宋体" w:eastAsia="宋体" w:cs="宋体"/>
          <w:b/>
          <w:szCs w:val="21"/>
        </w:rPr>
      </w:pPr>
      <w:r>
        <w:rPr>
          <w:rFonts w:hint="eastAsia" w:ascii="宋体" w:hAnsi="宋体" w:eastAsia="宋体" w:cs="宋体"/>
          <w:b/>
          <w:spacing w:val="8"/>
          <w:szCs w:val="21"/>
        </w:rPr>
        <w:t>八、</w:t>
      </w:r>
      <w:r>
        <w:rPr>
          <w:rFonts w:hint="eastAsia" w:ascii="宋体" w:hAnsi="宋体" w:eastAsia="宋体" w:cs="宋体"/>
          <w:b/>
          <w:szCs w:val="21"/>
        </w:rPr>
        <w:t>违约责任</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1、买方无正当理由拒收货物，买方向卖方偿付货款总值的</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2、买方无正当理由逾期付货款的，买方向卖方每日偿付</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3、卖方不能交付货物的，卖方向买方支付货款总值</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4、卖方逾期交付货物的，卖方向买方每日偿付货款总值的</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spacing w:line="360" w:lineRule="auto"/>
        <w:ind w:left="-178" w:leftChars="-85" w:firstLine="583" w:firstLineChars="257"/>
        <w:rPr>
          <w:rFonts w:ascii="宋体" w:hAnsi="宋体" w:eastAsia="宋体" w:cs="宋体"/>
          <w:b/>
          <w:spacing w:val="8"/>
          <w:szCs w:val="21"/>
        </w:rPr>
      </w:pPr>
      <w:r>
        <w:rPr>
          <w:rFonts w:hint="eastAsia" w:ascii="宋体" w:hAnsi="宋体" w:eastAsia="宋体" w:cs="宋体"/>
          <w:b/>
          <w:spacing w:val="8"/>
          <w:szCs w:val="21"/>
        </w:rPr>
        <w:t>九、解决合同纠纷方式</w:t>
      </w:r>
    </w:p>
    <w:p>
      <w:pPr>
        <w:spacing w:line="360" w:lineRule="auto"/>
        <w:ind w:left="-178" w:leftChars="-85" w:firstLine="580" w:firstLineChars="257"/>
        <w:rPr>
          <w:rFonts w:ascii="宋体" w:hAnsi="宋体" w:eastAsia="宋体" w:cs="宋体"/>
          <w:spacing w:val="8"/>
          <w:szCs w:val="21"/>
        </w:rPr>
      </w:pPr>
      <w:r>
        <w:rPr>
          <w:rFonts w:hint="eastAsia" w:ascii="宋体" w:hAnsi="宋体" w:eastAsia="宋体" w:cs="宋体"/>
          <w:spacing w:val="8"/>
          <w:szCs w:val="21"/>
        </w:rPr>
        <w:t>本合同如发生纠纷，买卖双方应当及时协商解决，协商不成时，按以下第（</w:t>
      </w:r>
      <w:r>
        <w:rPr>
          <w:rFonts w:hint="eastAsia" w:ascii="宋体" w:hAnsi="宋体" w:eastAsia="宋体" w:cs="Times New Roman"/>
          <w:spacing w:val="8"/>
          <w:szCs w:val="21"/>
        </w:rPr>
        <w:t>①</w:t>
      </w:r>
      <w:r>
        <w:rPr>
          <w:rFonts w:hint="eastAsia" w:ascii="宋体" w:hAnsi="宋体" w:eastAsia="宋体" w:cs="宋体"/>
          <w:spacing w:val="8"/>
          <w:szCs w:val="21"/>
        </w:rPr>
        <w:t>）项方式处理：①根据《中华人民共和国仲裁法》的规定向 安庆仲裁委员会 申请仲裁。②向________人民法院起诉。</w:t>
      </w:r>
    </w:p>
    <w:p>
      <w:pPr>
        <w:spacing w:line="360" w:lineRule="auto"/>
        <w:ind w:left="-178" w:leftChars="-85" w:firstLine="542" w:firstLineChars="257"/>
        <w:rPr>
          <w:rFonts w:ascii="宋体" w:hAnsi="Times New Roman" w:eastAsia="宋体" w:cs="宋体"/>
          <w:b/>
          <w:spacing w:val="8"/>
          <w:szCs w:val="21"/>
        </w:rPr>
      </w:pPr>
      <w:r>
        <w:rPr>
          <w:rFonts w:hint="eastAsia" w:ascii="宋体" w:hAnsi="宋体" w:eastAsia="宋体" w:cs="宋体"/>
          <w:b/>
          <w:szCs w:val="21"/>
        </w:rPr>
        <w:t>十、本合同的其他重要组成部分：</w:t>
      </w:r>
    </w:p>
    <w:p>
      <w:pPr>
        <w:tabs>
          <w:tab w:val="left" w:pos="3640"/>
        </w:tabs>
        <w:autoSpaceDE w:val="0"/>
        <w:autoSpaceDN w:val="0"/>
        <w:spacing w:line="360" w:lineRule="auto"/>
        <w:ind w:firstLine="420" w:firstLineChars="200"/>
        <w:rPr>
          <w:rFonts w:ascii="宋体" w:hAnsi="Times New Roman" w:eastAsia="宋体" w:cs="宋体"/>
          <w:szCs w:val="21"/>
        </w:rPr>
      </w:pPr>
      <w:r>
        <w:rPr>
          <w:rFonts w:ascii="宋体" w:hAnsi="宋体" w:eastAsia="宋体" w:cs="宋体"/>
          <w:szCs w:val="21"/>
        </w:rPr>
        <w:t>1</w:t>
      </w:r>
      <w:r>
        <w:rPr>
          <w:rFonts w:hint="eastAsia" w:ascii="宋体" w:hAnsi="宋体" w:eastAsia="宋体" w:cs="宋体"/>
          <w:szCs w:val="21"/>
        </w:rPr>
        <w:t>、磋商文件；</w:t>
      </w:r>
    </w:p>
    <w:p>
      <w:pPr>
        <w:tabs>
          <w:tab w:val="left" w:pos="3640"/>
        </w:tabs>
        <w:autoSpaceDE w:val="0"/>
        <w:autoSpaceDN w:val="0"/>
        <w:spacing w:line="360" w:lineRule="auto"/>
        <w:ind w:firstLine="420" w:firstLineChars="200"/>
        <w:rPr>
          <w:rFonts w:ascii="宋体" w:hAnsi="Times New Roman" w:eastAsia="宋体" w:cs="宋体"/>
          <w:szCs w:val="21"/>
        </w:rPr>
      </w:pPr>
      <w:r>
        <w:rPr>
          <w:rFonts w:ascii="宋体" w:hAnsi="宋体" w:eastAsia="宋体" w:cs="宋体"/>
          <w:szCs w:val="21"/>
        </w:rPr>
        <w:t>2</w:t>
      </w:r>
      <w:r>
        <w:rPr>
          <w:rFonts w:hint="eastAsia" w:ascii="宋体" w:hAnsi="宋体" w:eastAsia="宋体" w:cs="宋体"/>
          <w:szCs w:val="21"/>
        </w:rPr>
        <w:t>、成交人的响应文件；</w:t>
      </w:r>
    </w:p>
    <w:p>
      <w:pPr>
        <w:tabs>
          <w:tab w:val="left" w:pos="3640"/>
        </w:tabs>
        <w:autoSpaceDE w:val="0"/>
        <w:autoSpaceDN w:val="0"/>
        <w:spacing w:line="360" w:lineRule="auto"/>
        <w:ind w:firstLine="420" w:firstLineChars="200"/>
        <w:rPr>
          <w:rFonts w:ascii="宋体" w:hAnsi="Times New Roman" w:eastAsia="宋体" w:cs="宋体"/>
          <w:szCs w:val="21"/>
        </w:rPr>
      </w:pPr>
      <w:r>
        <w:rPr>
          <w:rFonts w:ascii="宋体" w:hAnsi="宋体" w:eastAsia="宋体" w:cs="宋体"/>
          <w:szCs w:val="21"/>
        </w:rPr>
        <w:t>3</w:t>
      </w:r>
      <w:r>
        <w:rPr>
          <w:rFonts w:hint="eastAsia" w:ascii="宋体" w:hAnsi="宋体" w:eastAsia="宋体" w:cs="宋体"/>
          <w:szCs w:val="21"/>
        </w:rPr>
        <w:t>、成交通知书。</w:t>
      </w:r>
    </w:p>
    <w:p>
      <w:pPr>
        <w:spacing w:line="360" w:lineRule="auto"/>
        <w:ind w:firstLine="413" w:firstLineChars="196"/>
        <w:rPr>
          <w:rFonts w:ascii="宋体" w:hAnsi="宋体" w:eastAsia="宋体" w:cs="宋体"/>
          <w:b/>
          <w:spacing w:val="8"/>
          <w:szCs w:val="21"/>
          <w:u w:val="single"/>
        </w:rPr>
      </w:pPr>
      <w:r>
        <w:rPr>
          <w:rFonts w:hint="eastAsia" w:ascii="宋体" w:hAnsi="宋体" w:eastAsia="宋体" w:cs="宋体"/>
          <w:b/>
          <w:szCs w:val="21"/>
        </w:rPr>
        <w:t>十一、其他</w:t>
      </w:r>
      <w:r>
        <w:rPr>
          <w:rFonts w:hint="eastAsia" w:ascii="宋体" w:hAnsi="宋体" w:eastAsia="宋体" w:cs="宋体"/>
          <w:b/>
          <w:bCs/>
          <w:szCs w:val="21"/>
        </w:rPr>
        <w:t>约定</w:t>
      </w:r>
      <w:r>
        <w:rPr>
          <w:rFonts w:hint="eastAsia" w:ascii="宋体" w:hAnsi="宋体" w:eastAsia="宋体" w:cs="宋体"/>
          <w:b/>
          <w:szCs w:val="21"/>
        </w:rPr>
        <w:t>事项：</w:t>
      </w:r>
      <w:r>
        <w:rPr>
          <w:rFonts w:hint="eastAsia" w:ascii="宋体" w:hAnsi="宋体" w:eastAsia="宋体" w:cs="宋体"/>
          <w:spacing w:val="8"/>
          <w:szCs w:val="21"/>
          <w:u w:val="single"/>
        </w:rPr>
        <w:t xml:space="preserve"> 　　　　　　　　　　　  </w:t>
      </w:r>
      <w:r>
        <w:rPr>
          <w:rFonts w:hint="eastAsia" w:ascii="宋体" w:hAnsi="宋体" w:eastAsia="宋体" w:cs="宋体"/>
          <w:b/>
          <w:spacing w:val="8"/>
          <w:szCs w:val="21"/>
          <w:u w:val="single"/>
        </w:rPr>
        <w:t xml:space="preserve">                                 </w:t>
      </w:r>
    </w:p>
    <w:p>
      <w:pPr>
        <w:spacing w:line="360" w:lineRule="auto"/>
        <w:ind w:left="-178" w:leftChars="-85" w:firstLine="177" w:firstLineChars="78"/>
        <w:rPr>
          <w:rFonts w:ascii="宋体" w:hAnsi="宋体" w:eastAsia="宋体" w:cs="宋体"/>
          <w:spacing w:val="8"/>
          <w:szCs w:val="21"/>
          <w:u w:val="single"/>
        </w:rPr>
      </w:pPr>
      <w:r>
        <w:rPr>
          <w:rFonts w:hint="eastAsia" w:ascii="宋体" w:hAnsi="宋体" w:eastAsia="宋体" w:cs="宋体"/>
          <w:b/>
          <w:spacing w:val="8"/>
          <w:szCs w:val="21"/>
          <w:u w:val="single"/>
        </w:rPr>
        <w:t xml:space="preserve">                                                       </w:t>
      </w:r>
      <w:r>
        <w:rPr>
          <w:rFonts w:hint="eastAsia" w:ascii="宋体" w:hAnsi="宋体" w:eastAsia="宋体" w:cs="宋体"/>
          <w:spacing w:val="8"/>
          <w:szCs w:val="21"/>
          <w:u w:val="single"/>
        </w:rPr>
        <w:t xml:space="preserve">                    </w:t>
      </w:r>
    </w:p>
    <w:p>
      <w:pPr>
        <w:spacing w:line="360" w:lineRule="auto"/>
        <w:ind w:left="-178" w:leftChars="-85" w:firstLine="176" w:firstLineChars="78"/>
        <w:rPr>
          <w:rFonts w:ascii="宋体" w:hAnsi="宋体" w:eastAsia="宋体" w:cs="宋体"/>
          <w:spacing w:val="8"/>
          <w:szCs w:val="21"/>
          <w:u w:val="single"/>
        </w:rPr>
      </w:pPr>
      <w:r>
        <w:rPr>
          <w:rFonts w:hint="eastAsia" w:ascii="宋体" w:hAnsi="宋体" w:eastAsia="宋体" w:cs="宋体"/>
          <w:spacing w:val="8"/>
          <w:szCs w:val="21"/>
          <w:u w:val="single"/>
        </w:rPr>
        <w:t xml:space="preserve">                                                                           </w:t>
      </w:r>
    </w:p>
    <w:p>
      <w:pPr>
        <w:tabs>
          <w:tab w:val="left" w:pos="3640"/>
        </w:tabs>
        <w:autoSpaceDE w:val="0"/>
        <w:autoSpaceDN w:val="0"/>
        <w:spacing w:line="360" w:lineRule="auto"/>
        <w:ind w:firstLine="420" w:firstLineChars="200"/>
        <w:rPr>
          <w:rFonts w:ascii="宋体" w:hAnsi="宋体" w:eastAsia="宋体" w:cs="宋体"/>
          <w:szCs w:val="21"/>
        </w:rPr>
      </w:pPr>
    </w:p>
    <w:p>
      <w:pPr>
        <w:tabs>
          <w:tab w:val="left" w:pos="3640"/>
        </w:tabs>
        <w:autoSpaceDE w:val="0"/>
        <w:autoSpaceDN w:val="0"/>
        <w:spacing w:line="480" w:lineRule="auto"/>
        <w:ind w:firstLine="630" w:firstLineChars="300"/>
        <w:rPr>
          <w:rFonts w:ascii="宋体" w:hAnsi="宋体" w:eastAsia="宋体" w:cs="宋体"/>
          <w:szCs w:val="21"/>
        </w:rPr>
      </w:pPr>
      <w:r>
        <w:rPr>
          <w:rFonts w:hint="eastAsia" w:ascii="宋体" w:hAnsi="宋体" w:eastAsia="宋体" w:cs="宋体"/>
          <w:szCs w:val="21"/>
        </w:rPr>
        <w:t xml:space="preserve">买  方                     </w:t>
      </w:r>
      <w:r>
        <w:rPr>
          <w:rFonts w:ascii="宋体" w:hAnsi="宋体" w:eastAsia="宋体" w:cs="宋体"/>
          <w:szCs w:val="21"/>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卖   方                        </w:t>
      </w:r>
    </w:p>
    <w:p>
      <w:pPr>
        <w:tabs>
          <w:tab w:val="left" w:pos="3640"/>
        </w:tabs>
        <w:autoSpaceDE w:val="0"/>
        <w:autoSpaceDN w:val="0"/>
        <w:spacing w:line="480" w:lineRule="auto"/>
        <w:ind w:firstLine="630" w:firstLineChars="300"/>
        <w:rPr>
          <w:rFonts w:ascii="宋体" w:hAnsi="宋体" w:eastAsia="宋体" w:cs="宋体"/>
          <w:szCs w:val="21"/>
        </w:rPr>
      </w:pPr>
      <w:r>
        <w:rPr>
          <w:rFonts w:hint="eastAsia" w:ascii="宋体" w:hAnsi="宋体" w:eastAsia="宋体" w:cs="宋体"/>
          <w:szCs w:val="21"/>
        </w:rPr>
        <w:t>采购人（单位盖章）：</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成交人（单位盖章）：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3640"/>
        </w:tabs>
        <w:autoSpaceDE w:val="0"/>
        <w:autoSpaceDN w:val="0"/>
        <w:spacing w:line="480" w:lineRule="auto"/>
        <w:ind w:firstLine="630" w:firstLineChars="3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3640"/>
        </w:tabs>
        <w:autoSpaceDE w:val="0"/>
        <w:autoSpaceDN w:val="0"/>
        <w:spacing w:line="480" w:lineRule="auto"/>
        <w:ind w:firstLine="630" w:firstLineChars="300"/>
        <w:rPr>
          <w:rFonts w:ascii="宋体" w:hAnsi="宋体" w:eastAsia="宋体" w:cs="宋体"/>
          <w:szCs w:val="21"/>
        </w:rPr>
      </w:pPr>
      <w:r>
        <w:rPr>
          <w:rFonts w:hint="eastAsia" w:ascii="宋体" w:hAnsi="宋体" w:eastAsia="宋体" w:cs="宋体"/>
          <w:szCs w:val="21"/>
        </w:rPr>
        <w:t>联系人：</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联系人：</w:t>
      </w:r>
      <w:r>
        <w:rPr>
          <w:rFonts w:ascii="宋体" w:hAnsi="宋体" w:eastAsia="宋体" w:cs="宋体"/>
          <w:szCs w:val="21"/>
          <w:u w:val="single"/>
        </w:rPr>
        <w:t xml:space="preserve">                    </w:t>
      </w:r>
      <w:r>
        <w:rPr>
          <w:rFonts w:ascii="宋体" w:hAnsi="宋体" w:eastAsia="宋体" w:cs="宋体"/>
          <w:szCs w:val="21"/>
        </w:rPr>
        <w:t xml:space="preserve">   </w:t>
      </w:r>
    </w:p>
    <w:p>
      <w:pPr>
        <w:tabs>
          <w:tab w:val="left" w:pos="3640"/>
        </w:tabs>
        <w:autoSpaceDE w:val="0"/>
        <w:autoSpaceDN w:val="0"/>
        <w:spacing w:line="480" w:lineRule="auto"/>
        <w:rPr>
          <w:rFonts w:ascii="宋体" w:hAnsi="宋体" w:eastAsia="宋体" w:cs="宋体"/>
          <w:szCs w:val="21"/>
        </w:rPr>
      </w:pPr>
      <w:r>
        <w:rPr>
          <w:rFonts w:ascii="宋体" w:hAnsi="宋体" w:eastAsia="宋体" w:cs="宋体"/>
          <w:szCs w:val="21"/>
        </w:rPr>
        <w:t xml:space="preserve"> </w:t>
      </w:r>
      <w:r>
        <w:rPr>
          <w:rFonts w:hint="eastAsia" w:ascii="宋体" w:hAnsi="宋体" w:eastAsia="宋体" w:cs="宋体"/>
          <w:szCs w:val="21"/>
        </w:rPr>
        <w:t xml:space="preserve">     地址：</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地址：</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w:t>
      </w:r>
    </w:p>
    <w:p>
      <w:pPr>
        <w:snapToGrid w:val="0"/>
        <w:spacing w:line="480" w:lineRule="auto"/>
        <w:rPr>
          <w:rFonts w:ascii="宋体" w:hAnsi="Times New Roman" w:eastAsia="宋体" w:cs="宋体"/>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年   月    日             </w:t>
      </w:r>
      <w:r>
        <w:rPr>
          <w:rFonts w:ascii="宋体" w:hAnsi="宋体" w:eastAsia="宋体" w:cs="宋体"/>
          <w:szCs w:val="21"/>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年   月    日 </w:t>
      </w:r>
      <w:r>
        <w:rPr>
          <w:rFonts w:ascii="宋体" w:hAnsi="宋体" w:eastAsia="宋体" w:cs="宋体"/>
          <w:szCs w:val="21"/>
        </w:rPr>
        <w:t xml:space="preserve">       </w:t>
      </w:r>
    </w:p>
    <w:p>
      <w:pPr>
        <w:tabs>
          <w:tab w:val="left" w:pos="3640"/>
        </w:tabs>
        <w:autoSpaceDE w:val="0"/>
        <w:autoSpaceDN w:val="0"/>
        <w:spacing w:line="480" w:lineRule="auto"/>
        <w:rPr>
          <w:rFonts w:ascii="宋体" w:cs="宋体"/>
          <w:szCs w:val="21"/>
        </w:rPr>
      </w:pPr>
      <w:r>
        <w:rPr>
          <w:rFonts w:ascii="宋体" w:hAnsi="宋体" w:cs="宋体"/>
          <w:szCs w:val="21"/>
        </w:rPr>
        <w:t xml:space="preserve">           </w:t>
      </w:r>
    </w:p>
    <w:p>
      <w:pPr>
        <w:snapToGrid w:val="0"/>
        <w:spacing w:line="480" w:lineRule="auto"/>
        <w:rPr>
          <w:rFonts w:ascii="宋体" w:cs="宋体"/>
        </w:rPr>
      </w:pPr>
    </w:p>
    <w:p>
      <w:pPr>
        <w:snapToGrid w:val="0"/>
        <w:spacing w:line="480" w:lineRule="auto"/>
        <w:rPr>
          <w:rFonts w:ascii="宋体" w:cs="宋体"/>
        </w:rPr>
      </w:pPr>
    </w:p>
    <w:p>
      <w:pPr>
        <w:snapToGrid w:val="0"/>
        <w:spacing w:line="480" w:lineRule="auto"/>
        <w:rPr>
          <w:rFonts w:ascii="宋体" w:cs="宋体"/>
        </w:rPr>
      </w:pPr>
      <w:r>
        <w:rPr>
          <w:rFonts w:ascii="宋体" w:cs="宋体"/>
        </w:rPr>
        <w:br w:type="page"/>
      </w:r>
    </w:p>
    <w:p>
      <w:pPr>
        <w:pStyle w:val="3"/>
        <w:spacing w:before="62" w:beforeLines="20" w:after="62" w:afterLines="20" w:line="480" w:lineRule="exact"/>
        <w:ind w:firstLine="0" w:firstLineChars="0"/>
        <w:jc w:val="center"/>
        <w:rPr>
          <w:rFonts w:ascii="Arial" w:hAnsi="Arial"/>
          <w:kern w:val="2"/>
          <w:sz w:val="36"/>
          <w:szCs w:val="36"/>
        </w:rPr>
      </w:pPr>
      <w:bookmarkStart w:id="110" w:name="_Toc32712"/>
      <w:bookmarkStart w:id="111" w:name="_Toc439316880"/>
      <w:r>
        <w:rPr>
          <w:rFonts w:hint="eastAsia" w:ascii="Arial" w:hAnsi="Arial"/>
          <w:kern w:val="2"/>
          <w:sz w:val="36"/>
          <w:szCs w:val="36"/>
          <w:lang w:val="zh-CN"/>
        </w:rPr>
        <w:t>第五章</w:t>
      </w:r>
      <w:r>
        <w:rPr>
          <w:rFonts w:ascii="Arial" w:hAnsi="Arial"/>
          <w:kern w:val="2"/>
          <w:sz w:val="36"/>
          <w:szCs w:val="36"/>
          <w:lang w:val="zh-CN"/>
        </w:rPr>
        <w:t xml:space="preserve">  </w:t>
      </w:r>
      <w:bookmarkStart w:id="112" w:name="_Toc417656001"/>
      <w:r>
        <w:rPr>
          <w:rFonts w:hint="eastAsia" w:ascii="Arial" w:hAnsi="Arial"/>
          <w:kern w:val="2"/>
          <w:sz w:val="36"/>
          <w:szCs w:val="36"/>
        </w:rPr>
        <w:t>响应文件格式</w:t>
      </w:r>
      <w:bookmarkEnd w:id="110"/>
      <w:bookmarkEnd w:id="111"/>
      <w:bookmarkEnd w:id="112"/>
    </w:p>
    <w:p/>
    <w:p>
      <w:pPr>
        <w:spacing w:line="360" w:lineRule="auto"/>
        <w:jc w:val="center"/>
        <w:rPr>
          <w:rFonts w:hint="eastAsia" w:ascii="仿宋" w:hAnsi="仿宋" w:eastAsia="仿宋"/>
          <w:b/>
          <w:spacing w:val="20"/>
          <w:sz w:val="36"/>
          <w:szCs w:val="36"/>
          <w:lang w:eastAsia="zh-CN"/>
        </w:rPr>
      </w:pPr>
      <w:r>
        <w:rPr>
          <w:rFonts w:hint="eastAsia" w:ascii="宋体" w:hAnsi="宋体" w:eastAsia="仿宋" w:cs="宋体"/>
          <w:b/>
          <w:spacing w:val="20"/>
          <w:sz w:val="32"/>
          <w:szCs w:val="32"/>
          <w:lang w:eastAsia="zh-CN"/>
        </w:rPr>
        <w:t>安庆皖江高科创业服务有限公司环保车辆采购项目</w:t>
      </w:r>
    </w:p>
    <w:p>
      <w:pPr>
        <w:spacing w:line="48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响</w:t>
      </w:r>
    </w:p>
    <w:p>
      <w:pPr>
        <w:jc w:val="center"/>
        <w:rPr>
          <w:rFonts w:ascii="宋体"/>
          <w:b/>
          <w:sz w:val="24"/>
          <w:szCs w:val="24"/>
        </w:rPr>
      </w:pPr>
    </w:p>
    <w:p>
      <w:pPr>
        <w:spacing w:line="360" w:lineRule="auto"/>
        <w:jc w:val="center"/>
        <w:rPr>
          <w:rFonts w:ascii="宋体" w:hAnsi="宋体"/>
          <w:b/>
          <w:sz w:val="72"/>
          <w:szCs w:val="72"/>
        </w:rPr>
      </w:pPr>
      <w:r>
        <w:rPr>
          <w:rFonts w:hint="eastAsia" w:ascii="宋体" w:hAnsi="宋体"/>
          <w:b/>
          <w:sz w:val="72"/>
          <w:szCs w:val="72"/>
        </w:rPr>
        <w:t>应</w:t>
      </w:r>
    </w:p>
    <w:p>
      <w:pPr>
        <w:spacing w:line="360" w:lineRule="auto"/>
        <w:jc w:val="center"/>
        <w:rPr>
          <w:rFonts w:ascii="宋体"/>
          <w:b/>
          <w:sz w:val="24"/>
          <w:szCs w:val="24"/>
        </w:rPr>
      </w:pPr>
    </w:p>
    <w:p>
      <w:pPr>
        <w:spacing w:line="360" w:lineRule="auto"/>
        <w:jc w:val="center"/>
        <w:rPr>
          <w:rFonts w:ascii="宋体" w:hAnsi="宋体"/>
          <w:b/>
          <w:sz w:val="72"/>
          <w:szCs w:val="72"/>
        </w:rPr>
      </w:pPr>
      <w:r>
        <w:rPr>
          <w:rFonts w:hint="eastAsia" w:ascii="宋体" w:hAnsi="宋体"/>
          <w:b/>
          <w:sz w:val="72"/>
          <w:szCs w:val="72"/>
        </w:rPr>
        <w:t>文</w:t>
      </w:r>
    </w:p>
    <w:p>
      <w:pPr>
        <w:spacing w:line="360" w:lineRule="auto"/>
        <w:jc w:val="center"/>
        <w:rPr>
          <w:rFonts w:ascii="宋体"/>
          <w:b/>
          <w:sz w:val="24"/>
          <w:szCs w:val="24"/>
        </w:rPr>
      </w:pPr>
    </w:p>
    <w:p>
      <w:pPr>
        <w:spacing w:line="36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hAnsi="宋体"/>
          <w:b/>
          <w:sz w:val="30"/>
          <w:szCs w:val="30"/>
        </w:rPr>
      </w:pP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（加盖公章）</w:t>
      </w:r>
      <w:r>
        <w:rPr>
          <w:rFonts w:ascii="宋体" w:hAnsi="宋体"/>
          <w:b/>
          <w:sz w:val="30"/>
          <w:szCs w:val="30"/>
          <w:u w:val="single"/>
        </w:rPr>
        <w:t xml:space="preserve"> </w:t>
      </w:r>
    </w:p>
    <w:p>
      <w:pPr>
        <w:spacing w:line="360" w:lineRule="auto"/>
        <w:ind w:firstLine="148" w:firstLineChars="49"/>
        <w:jc w:val="left"/>
        <w:rPr>
          <w:rFonts w:ascii="宋体" w:hAnsi="宋体" w:cs="宋体"/>
          <w:b/>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hAnsi="宋体" w:cs="宋体"/>
          <w:b/>
          <w:sz w:val="30"/>
          <w:szCs w:val="30"/>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rPr>
        <w:t>磋商响应函</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lang w:eastAsia="zh-CN"/>
        </w:rPr>
        <w:t>货物报价</w:t>
      </w:r>
      <w:r>
        <w:rPr>
          <w:rFonts w:hint="eastAsia" w:ascii="宋体" w:hAnsi="宋体" w:eastAsia="宋体" w:cs="宋体"/>
          <w:sz w:val="24"/>
        </w:rPr>
        <w:t>表</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lang w:eastAsia="zh-CN"/>
        </w:rPr>
        <w:t>货物</w:t>
      </w:r>
      <w:r>
        <w:rPr>
          <w:rFonts w:hint="eastAsia" w:ascii="宋体" w:hAnsi="宋体" w:eastAsia="宋体" w:cs="宋体"/>
          <w:sz w:val="24"/>
        </w:rPr>
        <w:t>及质量要求响应表</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rPr>
        <w:t>最后</w:t>
      </w:r>
      <w:r>
        <w:rPr>
          <w:rFonts w:hint="eastAsia" w:ascii="宋体" w:hAnsi="宋体" w:eastAsia="宋体" w:cs="宋体"/>
          <w:sz w:val="24"/>
          <w:lang w:eastAsia="zh-CN"/>
        </w:rPr>
        <w:t>报价</w:t>
      </w:r>
      <w:r>
        <w:rPr>
          <w:rFonts w:hint="eastAsia" w:ascii="宋体" w:hAnsi="宋体" w:eastAsia="宋体" w:cs="宋体"/>
          <w:sz w:val="24"/>
        </w:rPr>
        <w:t>表</w:t>
      </w:r>
    </w:p>
    <w:p>
      <w:pPr>
        <w:spacing w:line="480" w:lineRule="auto"/>
        <w:ind w:firstLine="480" w:firstLineChars="200"/>
        <w:rPr>
          <w:rFonts w:ascii="宋体" w:hAnsi="Times New Roman" w:eastAsia="宋体" w:cs="宋体"/>
          <w:sz w:val="24"/>
        </w:rPr>
      </w:pPr>
      <w:r>
        <w:rPr>
          <w:rFonts w:hint="eastAsia" w:ascii="宋体" w:hAnsi="宋体" w:eastAsia="宋体" w:cs="宋体"/>
          <w:sz w:val="24"/>
        </w:rPr>
        <w:t>五、供货及技术方案</w:t>
      </w:r>
    </w:p>
    <w:p>
      <w:pPr>
        <w:spacing w:line="480" w:lineRule="auto"/>
        <w:ind w:firstLine="480" w:firstLineChars="200"/>
        <w:rPr>
          <w:rFonts w:ascii="宋体" w:hAnsi="宋体" w:eastAsia="宋体" w:cs="宋体"/>
          <w:sz w:val="24"/>
        </w:rPr>
      </w:pPr>
      <w:r>
        <w:rPr>
          <w:rFonts w:hint="eastAsia" w:ascii="宋体" w:hAnsi="宋体" w:eastAsia="宋体" w:cs="宋体"/>
          <w:sz w:val="24"/>
        </w:rPr>
        <w:t>六、诚信响应承诺书</w:t>
      </w:r>
    </w:p>
    <w:p>
      <w:pPr>
        <w:spacing w:line="480" w:lineRule="auto"/>
        <w:ind w:firstLine="480" w:firstLineChars="200"/>
        <w:rPr>
          <w:rFonts w:hint="eastAsia" w:ascii="宋体" w:hAnsi="宋体" w:eastAsia="宋体" w:cs="宋体"/>
          <w:color w:val="000000"/>
          <w:sz w:val="24"/>
        </w:rPr>
      </w:pPr>
      <w:r>
        <w:rPr>
          <w:rFonts w:hint="eastAsia" w:ascii="宋体" w:hAnsi="宋体" w:eastAsia="宋体" w:cs="Times New Roman"/>
          <w:sz w:val="24"/>
        </w:rPr>
        <w:t>七、</w:t>
      </w:r>
      <w:r>
        <w:rPr>
          <w:rFonts w:hint="eastAsia" w:ascii="宋体" w:hAnsi="宋体" w:eastAsia="宋体" w:cs="宋体"/>
          <w:color w:val="000000"/>
          <w:sz w:val="24"/>
        </w:rPr>
        <w:t>资格证明文件</w:t>
      </w:r>
    </w:p>
    <w:p>
      <w:pPr>
        <w:pStyle w:val="2"/>
      </w:pPr>
    </w:p>
    <w:p>
      <w:pPr>
        <w:widowControl w:val="0"/>
        <w:spacing w:before="100" w:beforeAutospacing="1" w:after="100" w:afterAutospacing="1" w:line="440" w:lineRule="exact"/>
        <w:ind w:left="357" w:hanging="357"/>
        <w:jc w:val="both"/>
        <w:rPr>
          <w:rFonts w:hint="eastAsia" w:ascii="宋体" w:hAnsi="宋体" w:eastAsia="宋体" w:cs="宋体"/>
          <w:color w:val="000000"/>
          <w:kern w:val="2"/>
          <w:sz w:val="24"/>
          <w:szCs w:val="21"/>
          <w:lang w:val="en-US" w:eastAsia="zh-CN" w:bidi="ar-SA"/>
        </w:rPr>
      </w:pP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9"/>
        <w:spacing w:line="440" w:lineRule="exact"/>
        <w:rPr>
          <w:rFonts w:cs="宋体"/>
          <w:szCs w:val="28"/>
        </w:rPr>
      </w:pPr>
      <w:bookmarkStart w:id="113" w:name="_Toc8767"/>
      <w:bookmarkStart w:id="114" w:name="_Toc476584433"/>
    </w:p>
    <w:p>
      <w:pPr>
        <w:pStyle w:val="9"/>
        <w:spacing w:line="440" w:lineRule="exact"/>
        <w:rPr>
          <w:rFonts w:cs="宋体"/>
          <w:szCs w:val="28"/>
        </w:rPr>
      </w:pPr>
      <w:r>
        <w:rPr>
          <w:rFonts w:hint="eastAsia" w:cs="宋体"/>
          <w:szCs w:val="28"/>
        </w:rPr>
        <w:t>一、磋商响应函</w:t>
      </w:r>
      <w:bookmarkEnd w:id="113"/>
      <w:bookmarkEnd w:id="114"/>
    </w:p>
    <w:p>
      <w:pPr>
        <w:tabs>
          <w:tab w:val="left" w:pos="5580"/>
        </w:tabs>
        <w:spacing w:before="120" w:line="480" w:lineRule="auto"/>
        <w:rPr>
          <w:rFonts w:hint="eastAsia" w:asci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安庆皖江高科创业服务有限公司</w:t>
      </w:r>
    </w:p>
    <w:p>
      <w:pPr>
        <w:pStyle w:val="31"/>
        <w:tabs>
          <w:tab w:val="left" w:pos="5580"/>
        </w:tabs>
        <w:spacing w:line="480" w:lineRule="auto"/>
        <w:ind w:firstLine="420" w:firstLineChars="200"/>
        <w:rPr>
          <w:rFonts w:hAnsi="宋体" w:cs="宋体"/>
        </w:rPr>
      </w:pPr>
      <w:r>
        <w:rPr>
          <w:rFonts w:hAnsi="宋体" w:cs="宋体"/>
        </w:rPr>
        <w:t>1</w:t>
      </w:r>
      <w:r>
        <w:rPr>
          <w:rFonts w:hint="eastAsia" w:hAnsi="宋体" w:cs="宋体"/>
        </w:rPr>
        <w:t>、根据贵方磋商公告，我方决定参加贵方组织的</w:t>
      </w:r>
      <w:r>
        <w:rPr>
          <w:rFonts w:hint="eastAsia" w:hAnsi="宋体" w:cs="宋体"/>
          <w:u w:val="single"/>
          <w:lang w:eastAsia="zh-CN"/>
        </w:rPr>
        <w:t>安庆皖江高科创业服务有限公司环保车辆采购项目</w:t>
      </w:r>
      <w:r>
        <w:rPr>
          <w:rFonts w:hint="eastAsia" w:hAnsi="宋体" w:cs="宋体"/>
        </w:rPr>
        <w:t>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widowControl w:val="0"/>
        <w:tabs>
          <w:tab w:val="left" w:pos="5580"/>
        </w:tabs>
        <w:spacing w:line="480" w:lineRule="auto"/>
        <w:ind w:firstLine="420" w:firstLineChars="200"/>
        <w:jc w:val="both"/>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、我方愿意按照磋商文件约定的各项要求，向采购人提供所需的</w:t>
      </w:r>
      <w:r>
        <w:rPr>
          <w:rFonts w:hint="eastAsia" w:ascii="宋体" w:hAnsi="宋体" w:eastAsia="宋体" w:cs="宋体"/>
          <w:color w:val="00B0F0"/>
          <w:kern w:val="2"/>
          <w:sz w:val="21"/>
          <w:szCs w:val="21"/>
          <w:lang w:val="en-US" w:eastAsia="zh-CN" w:bidi="ar-SA"/>
        </w:rPr>
        <w:t>货物</w:t>
      </w:r>
      <w:r>
        <w:rPr>
          <w:rFonts w:hint="eastAsia" w:ascii="宋体" w:hAnsi="宋体" w:eastAsia="宋体" w:cs="宋体"/>
          <w:kern w:val="2"/>
          <w:sz w:val="21"/>
          <w:szCs w:val="21"/>
          <w:lang w:val="en-US" w:eastAsia="zh-CN" w:bidi="ar-SA"/>
        </w:rPr>
        <w:t>与服务，磋商报价为（大写）人民币</w:t>
      </w:r>
      <w:r>
        <w:rPr>
          <w:rFonts w:hint="eastAsia" w:ascii="宋体" w:hAnsi="宋体" w:eastAsia="宋体" w:cs="宋体"/>
          <w:kern w:val="2"/>
          <w:sz w:val="21"/>
          <w:szCs w:val="21"/>
          <w:u w:val="single"/>
          <w:lang w:val="en-US" w:eastAsia="zh-CN" w:bidi="ar-SA"/>
        </w:rPr>
        <w:t>人民币                 元</w:t>
      </w:r>
      <w:r>
        <w:rPr>
          <w:rFonts w:hint="eastAsia" w:ascii="宋体" w:hAnsi="宋体" w:eastAsia="宋体" w:cs="宋体"/>
          <w:kern w:val="2"/>
          <w:sz w:val="21"/>
          <w:szCs w:val="21"/>
          <w:u w:val="none"/>
          <w:lang w:val="en-US" w:eastAsia="zh-CN" w:bidi="ar-SA"/>
        </w:rPr>
        <w:t>；</w:t>
      </w:r>
      <w:r>
        <w:rPr>
          <w:rFonts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小写</w:t>
      </w:r>
      <w:r>
        <w:rPr>
          <w:rFonts w:ascii="宋体" w:hAnsi="宋体" w:eastAsia="宋体" w:cs="宋体"/>
          <w:kern w:val="2"/>
          <w:sz w:val="21"/>
          <w:szCs w:val="21"/>
          <w:lang w:val="en-US" w:eastAsia="zh-CN" w:bidi="ar-SA"/>
        </w:rPr>
        <w:t>)</w:t>
      </w:r>
      <w:r>
        <w:rPr>
          <w:rFonts w:hint="eastAsia" w:ascii="宋体" w:hAnsi="宋体" w:eastAsia="宋体" w:cs="宋体"/>
          <w:kern w:val="2"/>
          <w:sz w:val="21"/>
          <w:szCs w:val="21"/>
          <w:u w:val="single"/>
          <w:lang w:val="en-US" w:eastAsia="zh-CN" w:bidi="ar-SA"/>
        </w:rPr>
        <w:t xml:space="preserve">￥              元 </w:t>
      </w:r>
      <w:r>
        <w:rPr>
          <w:rFonts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w:t>
      </w:r>
    </w:p>
    <w:p>
      <w:pPr>
        <w:widowControl w:val="0"/>
        <w:tabs>
          <w:tab w:val="left" w:pos="5580"/>
        </w:tabs>
        <w:spacing w:line="480" w:lineRule="auto"/>
        <w:ind w:firstLine="417" w:firstLineChars="199"/>
        <w:jc w:val="both"/>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、一旦我方成交，我方将严格履行合同约定的责任和义务，保证自</w:t>
      </w:r>
      <w:r>
        <w:rPr>
          <w:rFonts w:hint="eastAsia" w:ascii="宋体" w:hAnsi="宋体" w:eastAsia="宋体" w:cs="宋体"/>
          <w:kern w:val="2"/>
          <w:sz w:val="21"/>
          <w:szCs w:val="21"/>
          <w:u w:val="single"/>
          <w:lang w:val="en-US" w:eastAsia="zh-CN" w:bidi="ar-SA"/>
        </w:rPr>
        <w:t>合同签订生效后 30日内完成。</w:t>
      </w:r>
      <w:r>
        <w:rPr>
          <w:rFonts w:hint="eastAsia" w:ascii="宋体" w:hAnsi="宋体" w:eastAsia="宋体" w:cs="宋体"/>
          <w:kern w:val="2"/>
          <w:sz w:val="21"/>
          <w:szCs w:val="21"/>
          <w:lang w:val="en-US" w:eastAsia="zh-CN" w:bidi="ar-SA"/>
        </w:rPr>
        <w:t>。</w:t>
      </w:r>
    </w:p>
    <w:p>
      <w:pPr>
        <w:pStyle w:val="31"/>
        <w:tabs>
          <w:tab w:val="left" w:pos="5580"/>
        </w:tabs>
        <w:spacing w:line="360" w:lineRule="auto"/>
        <w:ind w:firstLine="394" w:firstLineChars="199"/>
        <w:rPr>
          <w:rFonts w:hAnsi="宋体" w:cs="宋体"/>
          <w:spacing w:val="-6"/>
        </w:rPr>
      </w:pPr>
      <w:r>
        <w:rPr>
          <w:rFonts w:hAnsi="宋体" w:cs="宋体"/>
          <w:spacing w:val="-6"/>
        </w:rPr>
        <w:t>4</w:t>
      </w:r>
      <w:r>
        <w:rPr>
          <w:rFonts w:hint="eastAsia" w:hAnsi="宋体" w:cs="宋体"/>
          <w:spacing w:val="-6"/>
        </w:rPr>
        <w:t>、我方保证按照本项目竞争性磋商文件要求提交磋商响应文件。</w:t>
      </w:r>
    </w:p>
    <w:p>
      <w:pPr>
        <w:pStyle w:val="31"/>
        <w:tabs>
          <w:tab w:val="left" w:pos="5580"/>
        </w:tabs>
        <w:spacing w:line="480" w:lineRule="auto"/>
        <w:ind w:firstLine="394" w:firstLineChars="199"/>
        <w:rPr>
          <w:rFonts w:hAnsi="宋体" w:cs="宋体"/>
        </w:rPr>
      </w:pPr>
      <w:r>
        <w:rPr>
          <w:rFonts w:hint="eastAsia" w:hAnsi="宋体" w:cs="宋体"/>
          <w:spacing w:val="-6"/>
        </w:rPr>
        <w:t>5、</w:t>
      </w:r>
      <w:r>
        <w:rPr>
          <w:rFonts w:hint="eastAsia" w:hAnsi="宋体" w:cs="宋体"/>
        </w:rPr>
        <w:t>我方愿意提供贵方可能另外要求的、与响应有关的文件资料，并保证我方已提供和将要提供的文件是真实的、准确的。</w:t>
      </w:r>
    </w:p>
    <w:p>
      <w:pPr>
        <w:pStyle w:val="31"/>
        <w:tabs>
          <w:tab w:val="left" w:pos="5580"/>
        </w:tabs>
        <w:spacing w:line="480" w:lineRule="auto"/>
        <w:ind w:firstLine="417" w:firstLineChars="199"/>
        <w:rPr>
          <w:rFonts w:hAnsi="宋体" w:cs="宋体"/>
        </w:rPr>
      </w:pPr>
      <w:r>
        <w:rPr>
          <w:rFonts w:hint="eastAsia" w:hAnsi="宋体" w:cs="宋体"/>
        </w:rPr>
        <w:t>6、我方完全理解贵方不一定将合同授予最低报价的供应商。</w:t>
      </w: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法定代表人或委托代理人：</w:t>
      </w:r>
      <w:r>
        <w:rPr>
          <w:rFonts w:hint="eastAsia" w:hAnsi="宋体" w:cs="宋体"/>
          <w:u w:val="single"/>
        </w:rPr>
        <w:t xml:space="preserve">         （签字或盖章）</w:t>
      </w:r>
    </w:p>
    <w:p>
      <w:pPr>
        <w:pStyle w:val="31"/>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pStyle w:val="2"/>
      </w:pPr>
    </w:p>
    <w:p>
      <w:pPr>
        <w:keepNext/>
        <w:keepLines/>
        <w:widowControl w:val="0"/>
        <w:numPr>
          <w:ilvl w:val="0"/>
          <w:numId w:val="11"/>
        </w:numPr>
        <w:shd w:val="clear" w:color="auto" w:fill="FFFFFF"/>
        <w:tabs>
          <w:tab w:val="left" w:pos="2730"/>
        </w:tabs>
        <w:wordWrap w:val="0"/>
        <w:spacing w:line="360" w:lineRule="exact"/>
        <w:jc w:val="center"/>
        <w:outlineLvl w:val="2"/>
        <w:rPr>
          <w:rFonts w:ascii="宋体" w:hAnsi="宋体" w:eastAsia="宋体" w:cs="宋体"/>
          <w:b/>
          <w:kern w:val="2"/>
          <w:sz w:val="28"/>
          <w:szCs w:val="28"/>
          <w:shd w:val="clear" w:color="auto" w:fill="FFFFFF"/>
          <w:lang w:val="en-US" w:eastAsia="zh-CN" w:bidi="ar-SA"/>
        </w:rPr>
      </w:pPr>
      <w:bookmarkStart w:id="115" w:name="_Toc28034"/>
      <w:bookmarkStart w:id="116" w:name="_Toc476584434"/>
      <w:bookmarkStart w:id="117" w:name="_Toc14759"/>
      <w:bookmarkStart w:id="118" w:name="_Toc54941343"/>
      <w:bookmarkStart w:id="119" w:name="_Toc27341"/>
      <w:r>
        <w:rPr>
          <w:rFonts w:hint="eastAsia" w:ascii="宋体" w:hAnsi="宋体" w:eastAsia="宋体" w:cs="宋体"/>
          <w:b/>
          <w:kern w:val="2"/>
          <w:sz w:val="28"/>
          <w:szCs w:val="28"/>
          <w:shd w:val="clear" w:color="auto" w:fill="FFFFFF"/>
          <w:lang w:val="en-US" w:eastAsia="zh-CN" w:bidi="ar-SA"/>
        </w:rPr>
        <w:t>货物报价表</w:t>
      </w:r>
      <w:bookmarkEnd w:id="115"/>
      <w:bookmarkEnd w:id="116"/>
      <w:bookmarkEnd w:id="117"/>
      <w:bookmarkEnd w:id="118"/>
      <w:r>
        <w:rPr>
          <w:rFonts w:hint="eastAsia" w:ascii="宋体" w:hAnsi="宋体" w:eastAsia="宋体" w:cs="宋体"/>
          <w:b/>
          <w:kern w:val="2"/>
          <w:sz w:val="28"/>
          <w:szCs w:val="28"/>
          <w:shd w:val="clear" w:color="auto" w:fill="FFFFFF"/>
          <w:lang w:val="en-US" w:eastAsia="zh-CN" w:bidi="ar-SA"/>
        </w:rPr>
        <w:t>（首轮）</w:t>
      </w:r>
    </w:p>
    <w:p>
      <w:pPr>
        <w:widowControl w:val="0"/>
        <w:ind w:firstLine="420"/>
        <w:jc w:val="both"/>
        <w:rPr>
          <w:rFonts w:ascii="Times New Roman" w:hAnsi="宋体" w:eastAsia="宋体" w:cs="宋体"/>
          <w:kern w:val="2"/>
          <w:sz w:val="21"/>
          <w:lang w:val="en-US" w:eastAsia="zh-CN" w:bidi="ar-SA"/>
        </w:rPr>
      </w:pPr>
    </w:p>
    <w:p>
      <w:pPr>
        <w:widowControl w:val="0"/>
        <w:ind w:firstLine="0"/>
        <w:jc w:val="both"/>
        <w:rPr>
          <w:rFonts w:ascii="Times New Roman" w:hAnsi="宋体" w:eastAsia="宋体" w:cs="宋体"/>
          <w:kern w:val="2"/>
          <w:sz w:val="21"/>
          <w:lang w:val="en-US" w:eastAsia="zh-CN" w:bidi="ar-SA"/>
        </w:rPr>
      </w:pPr>
      <w:r>
        <w:rPr>
          <w:rFonts w:hint="eastAsia" w:ascii="Times New Roman" w:hAnsi="宋体" w:eastAsia="宋体" w:cs="宋体"/>
          <w:kern w:val="2"/>
          <w:sz w:val="21"/>
          <w:lang w:val="en-US" w:eastAsia="zh-CN" w:bidi="ar-SA"/>
        </w:rPr>
        <w:t>项目名称：</w:t>
      </w:r>
    </w:p>
    <w:p>
      <w:pPr>
        <w:widowControl w:val="0"/>
        <w:ind w:firstLine="0"/>
        <w:jc w:val="both"/>
        <w:rPr>
          <w:rFonts w:ascii="Times New Roman" w:hAnsi="宋体" w:eastAsia="宋体" w:cs="宋体"/>
          <w:kern w:val="2"/>
          <w:sz w:val="21"/>
          <w:lang w:val="en-US" w:eastAsia="zh-CN" w:bidi="ar-SA"/>
        </w:rPr>
      </w:pPr>
    </w:p>
    <w:tbl>
      <w:tblPr>
        <w:tblStyle w:val="6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742"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2395"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生产厂家、品牌、型号</w:t>
            </w:r>
          </w:p>
        </w:tc>
        <w:tc>
          <w:tcPr>
            <w:tcW w:w="901"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860"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tc>
        <w:tc>
          <w:tcPr>
            <w:tcW w:w="1321"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单价（元）</w:t>
            </w:r>
          </w:p>
        </w:tc>
        <w:tc>
          <w:tcPr>
            <w:tcW w:w="1458"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r>
              <w:rPr>
                <w:rFonts w:hint="eastAsia" w:ascii="宋体" w:hAnsi="宋体" w:eastAsia="宋体" w:cs="宋体"/>
                <w:spacing w:val="-4"/>
                <w:szCs w:val="21"/>
              </w:rPr>
              <w:t>总价</w:t>
            </w:r>
          </w:p>
        </w:tc>
        <w:tc>
          <w:tcPr>
            <w:tcW w:w="8677" w:type="dxa"/>
            <w:gridSpan w:val="6"/>
            <w:noWrap w:val="0"/>
            <w:vAlign w:val="center"/>
          </w:tcPr>
          <w:p>
            <w:pPr>
              <w:spacing w:line="360" w:lineRule="auto"/>
              <w:rPr>
                <w:rFonts w:ascii="宋体" w:hAnsi="宋体" w:eastAsia="宋体" w:cs="宋体"/>
                <w:szCs w:val="21"/>
              </w:rPr>
            </w:pPr>
            <w:r>
              <w:rPr>
                <w:rFonts w:hint="eastAsia" w:ascii="宋体" w:hAnsi="宋体" w:eastAsia="宋体" w:cs="宋体"/>
                <w:szCs w:val="21"/>
              </w:rPr>
              <w:t>小写：           元</w:t>
            </w:r>
          </w:p>
        </w:tc>
      </w:tr>
    </w:tbl>
    <w:p>
      <w:pPr>
        <w:spacing w:line="360" w:lineRule="auto"/>
        <w:rPr>
          <w:rFonts w:ascii="宋体" w:hAnsi="Times New Roman" w:eastAsia="宋体" w:cs="宋体"/>
          <w:szCs w:val="21"/>
        </w:rPr>
      </w:pPr>
    </w:p>
    <w:p>
      <w:pPr>
        <w:spacing w:line="360" w:lineRule="auto"/>
        <w:rPr>
          <w:rFonts w:ascii="宋体" w:hAnsi="Times New Roman" w:eastAsia="宋体" w:cs="宋体"/>
          <w:szCs w:val="21"/>
        </w:rPr>
      </w:pPr>
      <w:r>
        <w:rPr>
          <w:rFonts w:hint="eastAsia" w:ascii="宋体" w:hAnsi="宋体" w:eastAsia="宋体" w:cs="宋体"/>
          <w:szCs w:val="21"/>
        </w:rPr>
        <w:t>注：供应商可根据实际情况自行填写，但必须注明具体的细目内容，栏目不够可自行添加。</w:t>
      </w:r>
    </w:p>
    <w:p>
      <w:pPr>
        <w:spacing w:line="360" w:lineRule="auto"/>
        <w:rPr>
          <w:rFonts w:ascii="宋体" w:hAnsi="Times New Roman" w:eastAsia="宋体" w:cs="宋体"/>
          <w:szCs w:val="21"/>
        </w:rPr>
      </w:pPr>
    </w:p>
    <w:p>
      <w:pPr>
        <w:spacing w:line="360" w:lineRule="auto"/>
        <w:rPr>
          <w:rFonts w:ascii="宋体" w:hAnsi="Times New Roman" w:eastAsia="宋体" w:cs="宋体"/>
          <w:szCs w:val="21"/>
        </w:rPr>
      </w:pPr>
    </w:p>
    <w:p>
      <w:pPr>
        <w:spacing w:line="360" w:lineRule="auto"/>
        <w:ind w:firstLine="3561" w:firstLineChars="1696"/>
        <w:rPr>
          <w:rFonts w:ascii="宋体" w:hAnsi="Times New Roman"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Times New Roman" w:eastAsia="宋体" w:cs="宋体"/>
          <w:szCs w:val="21"/>
        </w:rPr>
      </w:pPr>
    </w:p>
    <w:p>
      <w:pPr>
        <w:spacing w:line="360" w:lineRule="auto"/>
        <w:ind w:firstLine="3570" w:firstLineChars="1700"/>
        <w:rPr>
          <w:rFonts w:ascii="宋体" w:hAnsi="Times New Roman"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Times New Roman" w:eastAsia="宋体" w:cs="宋体"/>
          <w:szCs w:val="21"/>
        </w:rPr>
      </w:pPr>
    </w:p>
    <w:p>
      <w:pPr>
        <w:spacing w:line="360" w:lineRule="auto"/>
        <w:ind w:firstLine="3570" w:firstLineChars="1700"/>
        <w:rPr>
          <w:rFonts w:ascii="宋体" w:hAnsi="Times New Roman" w:eastAsia="宋体" w:cs="宋体"/>
          <w:szCs w:val="21"/>
        </w:rPr>
      </w:pPr>
      <w:r>
        <w:rPr>
          <w:rFonts w:hint="eastAsia" w:ascii="宋体" w:hAnsi="宋体" w:eastAsia="宋体" w:cs="宋体"/>
          <w:szCs w:val="21"/>
        </w:rPr>
        <w:t>日</w:t>
      </w:r>
      <w:r>
        <w:rPr>
          <w:rFonts w:ascii="宋体" w:hAnsi="宋体" w:eastAsia="宋体" w:cs="宋体"/>
          <w:szCs w:val="21"/>
        </w:rPr>
        <w:t xml:space="preserve">  </w:t>
      </w:r>
      <w:r>
        <w:rPr>
          <w:rFonts w:hint="eastAsia" w:ascii="宋体" w:hAnsi="宋体" w:eastAsia="宋体" w:cs="宋体"/>
          <w:szCs w:val="21"/>
        </w:rPr>
        <w:t>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u w:val="single"/>
        </w:rPr>
        <w:t>　</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rPr>
          <w:rFonts w:ascii="宋体" w:hAnsi="Times New Roman" w:eastAsia="宋体" w:cs="宋体"/>
          <w:b/>
          <w:bCs/>
          <w:sz w:val="24"/>
        </w:rPr>
      </w:pPr>
    </w:p>
    <w:p>
      <w:pPr>
        <w:spacing w:line="360" w:lineRule="auto"/>
        <w:rPr>
          <w:rFonts w:ascii="宋体" w:cs="宋体"/>
          <w:b/>
          <w:bCs/>
          <w:sz w:val="24"/>
        </w:rPr>
      </w:pPr>
    </w:p>
    <w:p>
      <w:pPr>
        <w:pStyle w:val="2"/>
      </w:pPr>
    </w:p>
    <w:p>
      <w:pPr>
        <w:pStyle w:val="9"/>
        <w:rPr>
          <w:rFonts w:cs="宋体"/>
          <w:b w:val="0"/>
          <w:bCs/>
          <w:szCs w:val="28"/>
        </w:rPr>
      </w:pPr>
      <w:r>
        <w:rPr>
          <w:rFonts w:cs="宋体"/>
          <w:b w:val="0"/>
          <w:bCs/>
          <w:szCs w:val="28"/>
        </w:rPr>
        <w:t xml:space="preserve"> </w:t>
      </w:r>
    </w:p>
    <w:p>
      <w:pPr>
        <w:keepNext/>
        <w:keepLines/>
        <w:widowControl w:val="0"/>
        <w:shd w:val="clear" w:color="auto" w:fill="FFFFFF"/>
        <w:tabs>
          <w:tab w:val="left" w:pos="2730"/>
        </w:tabs>
        <w:wordWrap w:val="0"/>
        <w:spacing w:line="360" w:lineRule="exact"/>
        <w:jc w:val="center"/>
        <w:outlineLvl w:val="2"/>
        <w:rPr>
          <w:rFonts w:ascii="宋体" w:hAnsi="宋体" w:eastAsia="宋体" w:cs="宋体"/>
          <w:b/>
          <w:kern w:val="2"/>
          <w:sz w:val="28"/>
          <w:szCs w:val="28"/>
          <w:shd w:val="clear" w:color="auto" w:fill="FFFFFF"/>
          <w:lang w:val="en-US" w:eastAsia="zh-CN" w:bidi="ar-SA"/>
        </w:rPr>
      </w:pPr>
      <w:r>
        <w:rPr>
          <w:rFonts w:cs="宋体"/>
          <w:b w:val="0"/>
          <w:bCs/>
          <w:szCs w:val="28"/>
        </w:rPr>
        <w:t xml:space="preserve"> </w:t>
      </w:r>
      <w:bookmarkEnd w:id="119"/>
      <w:bookmarkStart w:id="120" w:name="_Toc476584435"/>
      <w:bookmarkStart w:id="121" w:name="_Toc18853"/>
      <w:bookmarkStart w:id="122" w:name="_Toc11099"/>
      <w:bookmarkStart w:id="123" w:name="_Toc388283751"/>
      <w:r>
        <w:rPr>
          <w:rFonts w:hint="eastAsia" w:cs="宋体"/>
          <w:szCs w:val="28"/>
        </w:rPr>
        <w:t>三、</w:t>
      </w:r>
      <w:bookmarkEnd w:id="120"/>
      <w:bookmarkEnd w:id="121"/>
      <w:bookmarkEnd w:id="122"/>
      <w:r>
        <w:rPr>
          <w:rFonts w:hint="eastAsia" w:ascii="宋体" w:hAnsi="宋体" w:eastAsia="宋体" w:cs="宋体"/>
          <w:b/>
          <w:kern w:val="2"/>
          <w:sz w:val="28"/>
          <w:szCs w:val="28"/>
          <w:shd w:val="clear" w:color="auto" w:fill="FFFFFF"/>
          <w:lang w:val="en-US" w:eastAsia="zh-CN" w:bidi="ar-SA"/>
        </w:rPr>
        <w:t>货物及质量要求响应表</w:t>
      </w:r>
    </w:p>
    <w:p>
      <w:pPr>
        <w:spacing w:line="360" w:lineRule="auto"/>
        <w:rPr>
          <w:rFonts w:ascii="宋体" w:hAnsi="Times New Roman" w:eastAsia="宋体" w:cs="宋体"/>
          <w:b/>
          <w:szCs w:val="21"/>
        </w:rPr>
      </w:pPr>
      <w:r>
        <w:rPr>
          <w:rFonts w:hint="eastAsia" w:ascii="宋体" w:hAnsi="宋体" w:eastAsia="宋体" w:cs="宋体"/>
          <w:szCs w:val="21"/>
        </w:rPr>
        <w:t>项目名称：</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25"/>
        <w:gridCol w:w="2472"/>
        <w:gridCol w:w="2118"/>
        <w:gridCol w:w="12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525"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2472"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生产厂家、品牌、型号</w:t>
            </w:r>
          </w:p>
        </w:tc>
        <w:tc>
          <w:tcPr>
            <w:tcW w:w="2118"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磋商响应技术参数</w:t>
            </w:r>
          </w:p>
        </w:tc>
        <w:tc>
          <w:tcPr>
            <w:tcW w:w="1284"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响应情况</w:t>
            </w:r>
          </w:p>
        </w:tc>
        <w:tc>
          <w:tcPr>
            <w:tcW w:w="1134"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bl>
    <w:p>
      <w:pPr>
        <w:spacing w:line="360" w:lineRule="auto"/>
        <w:rPr>
          <w:rFonts w:ascii="宋体" w:hAnsi="Times New Roman" w:eastAsia="宋体" w:cs="宋体"/>
          <w:szCs w:val="21"/>
        </w:rPr>
      </w:pPr>
      <w:r>
        <w:rPr>
          <w:rFonts w:hint="eastAsia" w:ascii="宋体" w:hAnsi="宋体" w:eastAsia="宋体" w:cs="宋体"/>
          <w:b/>
          <w:szCs w:val="21"/>
        </w:rPr>
        <w:t>注：</w:t>
      </w:r>
      <w:r>
        <w:rPr>
          <w:rFonts w:ascii="宋体" w:hAnsi="宋体" w:eastAsia="宋体" w:cs="宋体"/>
          <w:szCs w:val="21"/>
        </w:rPr>
        <w:t>1</w:t>
      </w:r>
      <w:r>
        <w:rPr>
          <w:rFonts w:hint="eastAsia" w:ascii="宋体" w:hAnsi="宋体" w:eastAsia="宋体" w:cs="宋体"/>
          <w:szCs w:val="21"/>
        </w:rPr>
        <w:t>、供应商必须将自己所投</w:t>
      </w:r>
      <w:r>
        <w:rPr>
          <w:rFonts w:hint="eastAsia" w:ascii="宋体" w:hAnsi="宋体" w:eastAsia="宋体" w:cs="宋体"/>
          <w:szCs w:val="21"/>
          <w:lang w:eastAsia="zh-CN"/>
        </w:rPr>
        <w:t>货物</w:t>
      </w:r>
      <w:r>
        <w:rPr>
          <w:rFonts w:hint="eastAsia" w:ascii="宋体" w:hAnsi="宋体" w:eastAsia="宋体" w:cs="宋体"/>
          <w:szCs w:val="21"/>
        </w:rPr>
        <w:t>真实、准确地填入以上表格中。供应商可根据实际情况自行调整格式，但必须注明具体</w:t>
      </w:r>
      <w:r>
        <w:rPr>
          <w:rFonts w:hint="eastAsia" w:ascii="宋体" w:hAnsi="宋体" w:eastAsia="宋体" w:cs="宋体"/>
          <w:szCs w:val="21"/>
          <w:lang w:val="en-US" w:eastAsia="zh-CN"/>
        </w:rPr>
        <w:t>添加</w:t>
      </w:r>
      <w:r>
        <w:rPr>
          <w:rFonts w:hint="eastAsia" w:ascii="宋体" w:hAnsi="宋体" w:eastAsia="宋体" w:cs="宋体"/>
          <w:szCs w:val="21"/>
        </w:rPr>
        <w:t>的细目内容。（不可删除已有细目内容）</w:t>
      </w:r>
    </w:p>
    <w:p>
      <w:pPr>
        <w:tabs>
          <w:tab w:val="left" w:pos="1815"/>
        </w:tabs>
        <w:spacing w:line="360" w:lineRule="auto"/>
        <w:ind w:left="1" w:firstLine="417" w:firstLineChars="199"/>
        <w:rPr>
          <w:rFonts w:ascii="宋体" w:hAnsi="Times New Roman" w:eastAsia="宋体" w:cs="宋体"/>
          <w:szCs w:val="21"/>
        </w:rPr>
      </w:pPr>
      <w:r>
        <w:rPr>
          <w:rFonts w:ascii="宋体" w:hAnsi="宋体" w:eastAsia="宋体" w:cs="宋体"/>
          <w:szCs w:val="21"/>
        </w:rPr>
        <w:t>2</w:t>
      </w:r>
      <w:r>
        <w:rPr>
          <w:rFonts w:hint="eastAsia" w:ascii="宋体" w:hAnsi="宋体" w:eastAsia="宋体" w:cs="宋体"/>
          <w:szCs w:val="21"/>
        </w:rPr>
        <w:t>、供应商必须根据自己所投</w:t>
      </w:r>
      <w:r>
        <w:rPr>
          <w:rFonts w:hint="eastAsia" w:ascii="宋体" w:hAnsi="宋体" w:eastAsia="宋体" w:cs="宋体"/>
          <w:szCs w:val="21"/>
          <w:lang w:eastAsia="zh-CN"/>
        </w:rPr>
        <w:t>货物</w:t>
      </w:r>
      <w:r>
        <w:rPr>
          <w:rFonts w:hint="eastAsia" w:ascii="宋体" w:hAnsi="宋体" w:eastAsia="宋体" w:cs="宋体"/>
          <w:szCs w:val="21"/>
        </w:rPr>
        <w:t>与“</w:t>
      </w:r>
      <w:r>
        <w:rPr>
          <w:rFonts w:hint="eastAsia" w:ascii="宋体" w:hAnsi="宋体" w:eastAsia="宋体" w:cs="宋体"/>
          <w:b/>
          <w:szCs w:val="21"/>
        </w:rPr>
        <w:t>竞争性磋商技术参数</w:t>
      </w:r>
      <w:r>
        <w:rPr>
          <w:rFonts w:hint="eastAsia" w:ascii="宋体" w:hAnsi="宋体" w:eastAsia="宋体" w:cs="宋体"/>
          <w:szCs w:val="21"/>
        </w:rPr>
        <w:t>”的差异情况，实事求是地填写“响应情况”（优于、满足、不满足） 。</w:t>
      </w:r>
    </w:p>
    <w:p>
      <w:pPr>
        <w:tabs>
          <w:tab w:val="left" w:pos="1815"/>
        </w:tabs>
        <w:spacing w:line="360" w:lineRule="auto"/>
        <w:ind w:firstLine="420" w:firstLineChars="200"/>
        <w:rPr>
          <w:rFonts w:ascii="宋体" w:hAnsi="Times New Roman" w:eastAsia="宋体" w:cs="宋体"/>
          <w:strike/>
          <w:color w:val="FF0000"/>
          <w:szCs w:val="21"/>
        </w:rPr>
      </w:pPr>
    </w:p>
    <w:p>
      <w:pPr>
        <w:tabs>
          <w:tab w:val="left" w:pos="1815"/>
        </w:tabs>
        <w:spacing w:line="360" w:lineRule="auto"/>
        <w:ind w:firstLine="420" w:firstLineChars="200"/>
        <w:rPr>
          <w:rFonts w:ascii="宋体" w:hAnsi="Times New Roman" w:eastAsia="宋体" w:cs="宋体"/>
          <w:strike/>
          <w:color w:val="FF0000"/>
          <w:szCs w:val="21"/>
        </w:rPr>
      </w:pPr>
    </w:p>
    <w:p>
      <w:pPr>
        <w:tabs>
          <w:tab w:val="left" w:pos="1815"/>
        </w:tabs>
        <w:spacing w:line="360" w:lineRule="auto"/>
        <w:ind w:firstLine="420" w:firstLineChars="200"/>
        <w:rPr>
          <w:rFonts w:ascii="宋体" w:hAnsi="Times New Roman" w:eastAsia="宋体" w:cs="宋体"/>
          <w:strike/>
          <w:color w:val="FF0000"/>
          <w:szCs w:val="21"/>
        </w:rPr>
      </w:pPr>
    </w:p>
    <w:p>
      <w:pPr>
        <w:tabs>
          <w:tab w:val="left" w:pos="1815"/>
        </w:tabs>
        <w:spacing w:line="360" w:lineRule="auto"/>
        <w:ind w:firstLine="420" w:firstLineChars="200"/>
        <w:rPr>
          <w:rFonts w:ascii="宋体" w:hAnsi="Times New Roman" w:eastAsia="宋体" w:cs="宋体"/>
          <w:szCs w:val="21"/>
        </w:rPr>
      </w:pPr>
    </w:p>
    <w:p>
      <w:pPr>
        <w:spacing w:line="360" w:lineRule="auto"/>
        <w:ind w:firstLine="3561" w:firstLineChars="1696"/>
        <w:rPr>
          <w:rFonts w:ascii="宋体" w:hAnsi="Times New Roman"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Times New Roman" w:eastAsia="宋体" w:cs="宋体"/>
          <w:szCs w:val="21"/>
        </w:rPr>
      </w:pPr>
    </w:p>
    <w:p>
      <w:pPr>
        <w:spacing w:line="360" w:lineRule="auto"/>
        <w:ind w:firstLine="3570" w:firstLineChars="1700"/>
        <w:rPr>
          <w:rFonts w:ascii="宋体" w:hAnsi="Times New Roman"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Times New Roman"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w:t>
      </w:r>
      <w:r>
        <w:rPr>
          <w:rFonts w:ascii="宋体" w:hAnsi="宋体" w:eastAsia="宋体" w:cs="宋体"/>
          <w:szCs w:val="21"/>
        </w:rPr>
        <w:t xml:space="preserve">  </w:t>
      </w:r>
      <w:r>
        <w:rPr>
          <w:rFonts w:hint="eastAsia" w:ascii="宋体" w:hAnsi="宋体" w:eastAsia="宋体" w:cs="宋体"/>
          <w:szCs w:val="21"/>
        </w:rPr>
        <w:t>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u w:val="single"/>
        </w:rPr>
        <w:t>　</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pPr>
    </w:p>
    <w:bookmarkEnd w:id="123"/>
    <w:p>
      <w:pPr>
        <w:keepNext/>
        <w:keepLines/>
        <w:widowControl w:val="0"/>
        <w:numPr>
          <w:ilvl w:val="0"/>
          <w:numId w:val="12"/>
        </w:numPr>
        <w:shd w:val="clear" w:color="auto" w:fill="FFFFFF"/>
        <w:wordWrap w:val="0"/>
        <w:spacing w:line="360" w:lineRule="exact"/>
        <w:jc w:val="center"/>
        <w:outlineLvl w:val="2"/>
        <w:rPr>
          <w:rFonts w:ascii="宋体" w:hAnsi="宋体" w:eastAsia="宋体" w:cs="宋体"/>
          <w:b/>
          <w:kern w:val="2"/>
          <w:sz w:val="28"/>
          <w:szCs w:val="28"/>
          <w:shd w:val="clear" w:color="auto" w:fill="FFFFFF"/>
          <w:lang w:val="en-US" w:eastAsia="zh-CN" w:bidi="ar-SA"/>
        </w:rPr>
      </w:pPr>
      <w:bookmarkStart w:id="124" w:name="_Toc2821"/>
      <w:bookmarkStart w:id="125" w:name="_Toc20713"/>
      <w:bookmarkStart w:id="126" w:name="_Toc54941345"/>
      <w:bookmarkStart w:id="127" w:name="_Toc476584436"/>
      <w:bookmarkStart w:id="128" w:name="_Toc15038"/>
      <w:r>
        <w:rPr>
          <w:rFonts w:hint="eastAsia" w:ascii="宋体" w:hAnsi="宋体" w:eastAsia="宋体" w:cs="宋体"/>
          <w:b/>
          <w:kern w:val="2"/>
          <w:sz w:val="28"/>
          <w:szCs w:val="28"/>
          <w:shd w:val="clear" w:color="auto" w:fill="FFFFFF"/>
          <w:lang w:val="en-US" w:eastAsia="zh-CN" w:bidi="ar-SA"/>
        </w:rPr>
        <w:t>最后报价表</w:t>
      </w:r>
      <w:bookmarkEnd w:id="124"/>
      <w:bookmarkEnd w:id="125"/>
      <w:bookmarkEnd w:id="126"/>
    </w:p>
    <w:p>
      <w:pPr>
        <w:widowControl w:val="0"/>
        <w:ind w:firstLine="420"/>
        <w:jc w:val="both"/>
        <w:rPr>
          <w:rFonts w:ascii="Times New Roman" w:hAnsi="Times New Roman" w:eastAsia="宋体" w:cs="Times New Roman"/>
          <w:kern w:val="2"/>
          <w:sz w:val="21"/>
          <w:lang w:val="en-US" w:eastAsia="zh-CN" w:bidi="ar-SA"/>
        </w:rPr>
      </w:pPr>
    </w:p>
    <w:p>
      <w:pPr>
        <w:spacing w:line="360" w:lineRule="auto"/>
        <w:rPr>
          <w:rFonts w:ascii="Times New Roman" w:hAnsi="Times New Roman" w:eastAsia="宋体" w:cs="Times New Roman"/>
          <w:sz w:val="24"/>
        </w:rPr>
      </w:pPr>
      <w:r>
        <w:rPr>
          <w:rFonts w:hint="eastAsia" w:ascii="宋体" w:hAnsi="宋体" w:eastAsia="宋体" w:cs="Times New Roman"/>
          <w:szCs w:val="21"/>
        </w:rPr>
        <w:t>项目名称：</w:t>
      </w:r>
      <w:r>
        <w:rPr>
          <w:rFonts w:ascii="宋体" w:hAnsi="宋体" w:eastAsia="宋体" w:cs="Times New Roman"/>
          <w:szCs w:val="21"/>
        </w:rPr>
        <w:t xml:space="preserve">  </w:t>
      </w:r>
    </w:p>
    <w:p>
      <w:pPr>
        <w:spacing w:line="360" w:lineRule="auto"/>
        <w:rPr>
          <w:rFonts w:ascii="Times New Roman" w:hAnsi="Times New Roman" w:eastAsia="仿宋" w:cs="Times New Roman"/>
          <w:kern w:val="0"/>
          <w:sz w:val="24"/>
          <w:lang w:val="zh-CN"/>
        </w:rPr>
      </w:pPr>
      <w:r>
        <w:rPr>
          <w:rFonts w:hint="eastAsia" w:ascii="宋体" w:hAnsi="宋体" w:eastAsia="宋体" w:cs="Times New Roman"/>
          <w:szCs w:val="21"/>
        </w:rPr>
        <w:t>项目编号：</w:t>
      </w:r>
      <w:r>
        <w:rPr>
          <w:rFonts w:ascii="宋体" w:hAnsi="宋体" w:eastAsia="宋体" w:cs="Times New Roman"/>
          <w:szCs w:val="21"/>
        </w:rPr>
        <w:t xml:space="preserve"> </w:t>
      </w:r>
    </w:p>
    <w:p>
      <w:pPr>
        <w:spacing w:line="360" w:lineRule="auto"/>
        <w:ind w:firstLine="6090" w:firstLineChars="2900"/>
        <w:rPr>
          <w:rFonts w:ascii="宋体" w:hAnsi="Times New Roman" w:eastAsia="宋体" w:cs="Times New Roman"/>
        </w:rPr>
      </w:pPr>
      <w:r>
        <w:rPr>
          <w:rFonts w:hint="eastAsia" w:ascii="宋体" w:hAnsi="宋体" w:eastAsia="宋体" w:cs="Times New Roman"/>
        </w:rPr>
        <w:t>金额单位：人民币（元）</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noWrap w:val="0"/>
            <w:vAlign w:val="center"/>
          </w:tcPr>
          <w:p>
            <w:pPr>
              <w:spacing w:line="400" w:lineRule="exact"/>
              <w:jc w:val="center"/>
              <w:rPr>
                <w:rFonts w:hint="eastAsia" w:ascii="Times New Roman" w:hAnsi="Times New Roman" w:eastAsia="宋体" w:cs="Times New Roman"/>
                <w:sz w:val="24"/>
                <w:lang w:eastAsia="zh-CN"/>
              </w:rPr>
            </w:pPr>
            <w:r>
              <w:rPr>
                <w:rFonts w:hint="eastAsia" w:ascii="Times New Roman" w:hAnsi="宋体" w:eastAsia="宋体" w:cs="Times New Roman"/>
                <w:sz w:val="24"/>
              </w:rPr>
              <w:t>最后</w:t>
            </w:r>
            <w:r>
              <w:rPr>
                <w:rFonts w:hint="eastAsia" w:ascii="Times New Roman" w:hAnsi="宋体" w:eastAsia="宋体" w:cs="Times New Roman"/>
                <w:sz w:val="24"/>
                <w:lang w:eastAsia="zh-CN"/>
              </w:rPr>
              <w:t>报价</w:t>
            </w:r>
          </w:p>
        </w:tc>
        <w:tc>
          <w:tcPr>
            <w:tcW w:w="8167" w:type="dxa"/>
            <w:noWrap w:val="0"/>
            <w:vAlign w:val="center"/>
          </w:tcPr>
          <w:p>
            <w:pPr>
              <w:wordWrap w:val="0"/>
              <w:spacing w:line="400" w:lineRule="exact"/>
              <w:rPr>
                <w:rFonts w:hint="default" w:ascii="Times New Roman" w:hAnsi="Times New Roman" w:eastAsia="宋体" w:cs="Times New Roman"/>
                <w:sz w:val="24"/>
                <w:lang w:val="en-US"/>
              </w:rPr>
            </w:pPr>
            <w:r>
              <w:rPr>
                <w:rFonts w:hint="eastAsia" w:ascii="Times New Roman" w:hAnsi="宋体" w:eastAsia="宋体" w:cs="Times New Roman"/>
                <w:sz w:val="24"/>
              </w:rPr>
              <w:t>大写：</w:t>
            </w:r>
            <w:r>
              <w:rPr>
                <w:rFonts w:ascii="Times New Roman" w:hAnsi="Times New Roman" w:eastAsia="宋体" w:cs="Times New Roman"/>
                <w:sz w:val="24"/>
              </w:rPr>
              <w:t xml:space="preserve"> </w:t>
            </w:r>
            <w:r>
              <w:rPr>
                <w:rFonts w:hint="eastAsia" w:ascii="Times New Roman" w:hAnsi="Times New Roman" w:eastAsia="宋体" w:cs="Times New Roman"/>
                <w:sz w:val="24"/>
                <w:lang w:val="en-US" w:eastAsia="zh-CN"/>
              </w:rPr>
              <w:t>人民币</w:t>
            </w:r>
            <w:r>
              <w:rPr>
                <w:rFonts w:hint="eastAsia" w:cs="Times New Roman"/>
                <w:sz w:val="24"/>
                <w:lang w:val="en-US" w:eastAsia="zh-CN"/>
              </w:rPr>
              <w:t xml:space="preserve">                   </w:t>
            </w:r>
            <w:r>
              <w:rPr>
                <w:rFonts w:hint="eastAsia" w:ascii="Times New Roman" w:hAnsi="Times New Roman" w:eastAsia="宋体" w:cs="Times New Roman"/>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noWrap w:val="0"/>
            <w:vAlign w:val="center"/>
          </w:tcPr>
          <w:p>
            <w:pPr>
              <w:spacing w:line="400" w:lineRule="exact"/>
              <w:jc w:val="center"/>
              <w:rPr>
                <w:rFonts w:ascii="Times New Roman" w:hAnsi="Times New Roman" w:eastAsia="宋体" w:cs="Times New Roman"/>
                <w:sz w:val="24"/>
              </w:rPr>
            </w:pPr>
          </w:p>
        </w:tc>
        <w:tc>
          <w:tcPr>
            <w:tcW w:w="8167" w:type="dxa"/>
            <w:noWrap w:val="0"/>
            <w:vAlign w:val="center"/>
          </w:tcPr>
          <w:p>
            <w:pPr>
              <w:wordWrap w:val="0"/>
              <w:rPr>
                <w:rFonts w:ascii="Times New Roman" w:hAnsi="宋体" w:eastAsia="宋体" w:cs="Times New Roman"/>
                <w:sz w:val="24"/>
              </w:rPr>
            </w:pPr>
            <w:r>
              <w:rPr>
                <w:rFonts w:hint="eastAsia" w:ascii="Times New Roman" w:hAnsi="宋体" w:eastAsia="宋体" w:cs="Times New Roman"/>
                <w:sz w:val="24"/>
              </w:rPr>
              <w:t>小写：</w:t>
            </w:r>
            <w:r>
              <w:rPr>
                <w:rFonts w:hint="eastAsia" w:ascii="Times New Roman" w:hAnsi="宋体" w:eastAsia="宋体" w:cs="Times New Roman"/>
                <w:sz w:val="24"/>
                <w:u w:val="none"/>
              </w:rPr>
              <w:t>￥</w:t>
            </w:r>
            <w:r>
              <w:rPr>
                <w:rFonts w:hint="eastAsia" w:hAnsi="宋体" w:cs="Times New Roman"/>
                <w:sz w:val="24"/>
                <w:u w:val="none"/>
                <w:lang w:val="en-US" w:eastAsia="zh-CN"/>
              </w:rPr>
              <w:t xml:space="preserve">                         </w:t>
            </w:r>
            <w:r>
              <w:rPr>
                <w:rFonts w:hint="eastAsia" w:ascii="Times New Roman" w:hAnsi="宋体" w:eastAsia="宋体" w:cs="Times New Roman"/>
                <w:sz w:val="24"/>
                <w:u w:val="none"/>
              </w:rPr>
              <w:t>元</w:t>
            </w:r>
            <w:r>
              <w:rPr>
                <w:rFonts w:ascii="Times New Roman" w:hAnsi="宋体" w:eastAsia="宋体"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noWrap w:val="0"/>
            <w:vAlign w:val="center"/>
          </w:tcPr>
          <w:p>
            <w:pPr>
              <w:spacing w:line="400" w:lineRule="exact"/>
              <w:rPr>
                <w:rFonts w:ascii="Times New Roman" w:hAnsi="宋体" w:eastAsia="宋体" w:cs="Times New Roman"/>
                <w:sz w:val="24"/>
              </w:rPr>
            </w:pPr>
            <w:r>
              <w:rPr>
                <w:rFonts w:hint="eastAsia" w:ascii="Times New Roman" w:hAnsi="宋体" w:eastAsia="宋体" w:cs="Times New Roman"/>
                <w:sz w:val="24"/>
              </w:rPr>
              <w:t>备注：</w:t>
            </w:r>
          </w:p>
          <w:p>
            <w:pPr>
              <w:spacing w:line="400" w:lineRule="exact"/>
              <w:rPr>
                <w:rFonts w:ascii="Times New Roman" w:hAnsi="宋体" w:eastAsia="宋体" w:cs="Times New Roman"/>
                <w:sz w:val="24"/>
              </w:rPr>
            </w:pPr>
            <w:r>
              <w:rPr>
                <w:rFonts w:ascii="Times New Roman" w:hAnsi="宋体" w:eastAsia="宋体" w:cs="Times New Roman"/>
                <w:sz w:val="24"/>
              </w:rPr>
              <w:t>1</w:t>
            </w:r>
            <w:r>
              <w:rPr>
                <w:rFonts w:hint="eastAsia" w:ascii="Times New Roman" w:hAnsi="宋体" w:eastAsia="宋体" w:cs="Times New Roman"/>
                <w:sz w:val="24"/>
              </w:rPr>
              <w:t>、分项</w:t>
            </w:r>
            <w:r>
              <w:rPr>
                <w:rFonts w:hint="eastAsia" w:ascii="Times New Roman" w:hAnsi="宋体" w:eastAsia="宋体" w:cs="Times New Roman"/>
                <w:sz w:val="24"/>
                <w:lang w:eastAsia="zh-CN"/>
              </w:rPr>
              <w:t>报价</w:t>
            </w:r>
            <w:r>
              <w:rPr>
                <w:rFonts w:hint="eastAsia" w:ascii="Times New Roman" w:hAnsi="宋体" w:eastAsia="宋体" w:cs="Times New Roman"/>
                <w:sz w:val="24"/>
              </w:rPr>
              <w:t>按总</w:t>
            </w:r>
            <w:r>
              <w:rPr>
                <w:rFonts w:hint="eastAsia" w:ascii="Times New Roman" w:hAnsi="宋体" w:eastAsia="宋体" w:cs="Times New Roman"/>
                <w:sz w:val="24"/>
                <w:lang w:eastAsia="zh-CN"/>
              </w:rPr>
              <w:t>报价</w:t>
            </w:r>
            <w:r>
              <w:rPr>
                <w:rFonts w:hint="eastAsia" w:ascii="Times New Roman" w:hAnsi="宋体" w:eastAsia="宋体" w:cs="Times New Roman"/>
                <w:sz w:val="24"/>
              </w:rPr>
              <w:t>的同等比例下浮；</w:t>
            </w:r>
          </w:p>
          <w:p>
            <w:pPr>
              <w:spacing w:line="400" w:lineRule="exact"/>
              <w:rPr>
                <w:rFonts w:ascii="Times New Roman" w:hAnsi="宋体" w:eastAsia="宋体" w:cs="Times New Roman"/>
                <w:sz w:val="24"/>
              </w:rPr>
            </w:pPr>
            <w:r>
              <w:rPr>
                <w:rFonts w:ascii="Times New Roman" w:hAnsi="宋体" w:eastAsia="宋体" w:cs="Times New Roman"/>
                <w:sz w:val="24"/>
              </w:rPr>
              <w:t>2</w:t>
            </w:r>
            <w:r>
              <w:rPr>
                <w:rFonts w:hint="eastAsia" w:ascii="Times New Roman" w:hAnsi="宋体" w:eastAsia="宋体" w:cs="Times New Roman"/>
                <w:sz w:val="24"/>
              </w:rPr>
              <w:t>、最后</w:t>
            </w:r>
            <w:r>
              <w:rPr>
                <w:rFonts w:hint="eastAsia" w:ascii="Times New Roman" w:hAnsi="宋体" w:eastAsia="宋体" w:cs="Times New Roman"/>
                <w:sz w:val="24"/>
                <w:lang w:eastAsia="zh-CN"/>
              </w:rPr>
              <w:t>报价</w:t>
            </w:r>
            <w:r>
              <w:rPr>
                <w:rFonts w:hint="eastAsia" w:ascii="Times New Roman" w:hAnsi="宋体" w:eastAsia="宋体" w:cs="Times New Roman"/>
                <w:sz w:val="24"/>
              </w:rPr>
              <w:t>保留两位小数，小数点后第三位四舍五入。</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ind w:left="0" w:leftChars="0" w:firstLine="48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kern w:val="2"/>
          <w:sz w:val="24"/>
          <w:szCs w:val="21"/>
          <w:lang w:val="en-US" w:eastAsia="zh-CN" w:bidi="ar-SA"/>
        </w:rPr>
        <w:t>此表请各供应商多准备几份，并加盖供应商公章及法定代表（或负责人）或委托代理人签字或盖章，以便在磋商时报价使用。（此表由供应商磋商现场递交）</w:t>
      </w:r>
    </w:p>
    <w:p>
      <w:pPr>
        <w:spacing w:line="360" w:lineRule="auto"/>
        <w:ind w:firstLine="3561" w:firstLineChars="1696"/>
        <w:rPr>
          <w:rFonts w:ascii="宋体" w:hAnsi="Times New Roman" w:eastAsia="宋体" w:cs="Times New Roman"/>
          <w:szCs w:val="21"/>
        </w:rPr>
      </w:pPr>
    </w:p>
    <w:p>
      <w:pPr>
        <w:widowControl w:val="0"/>
        <w:spacing w:before="100" w:beforeAutospacing="1" w:after="100" w:afterAutospacing="1" w:line="440" w:lineRule="exact"/>
        <w:ind w:left="357" w:hanging="357"/>
        <w:jc w:val="both"/>
        <w:rPr>
          <w:rFonts w:ascii="Times New Roman" w:hAnsi="Times New Roman" w:eastAsia="宋体" w:cs="Times New Roman"/>
          <w:kern w:val="2"/>
          <w:sz w:val="21"/>
          <w:szCs w:val="21"/>
          <w:lang w:val="en-US" w:eastAsia="zh-CN" w:bidi="ar-SA"/>
        </w:rPr>
      </w:pPr>
    </w:p>
    <w:p>
      <w:pPr>
        <w:spacing w:line="360" w:lineRule="auto"/>
        <w:ind w:firstLine="3780" w:firstLineChars="1800"/>
        <w:rPr>
          <w:rFonts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Times New Roman" w:hAnsi="宋体" w:eastAsia="宋体" w:cs="宋体"/>
        </w:rPr>
        <w:t>法定代表人或委托代理人：</w:t>
      </w:r>
      <w:r>
        <w:rPr>
          <w:rFonts w:hint="eastAsia" w:ascii="Times New Roman" w:hAnsi="宋体" w:eastAsia="宋体" w:cs="宋体"/>
          <w:u w:val="single"/>
        </w:rPr>
        <w:t xml:space="preserve">         （签字或盖章）</w:t>
      </w: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pStyle w:val="2"/>
      </w:pPr>
    </w:p>
    <w:p>
      <w:pPr>
        <w:pStyle w:val="2"/>
      </w:pPr>
    </w:p>
    <w:p>
      <w:pPr>
        <w:pStyle w:val="9"/>
        <w:rPr>
          <w:rFonts w:cs="宋体"/>
          <w:szCs w:val="28"/>
          <w:bdr w:val="single" w:color="auto" w:sz="4" w:space="0"/>
        </w:rPr>
      </w:pPr>
      <w:bookmarkStart w:id="129" w:name="_Toc6619"/>
      <w:r>
        <w:rPr>
          <w:rFonts w:hint="eastAsia" w:cs="宋体"/>
          <w:szCs w:val="28"/>
        </w:rPr>
        <w:t>五、</w:t>
      </w:r>
      <w:bookmarkEnd w:id="127"/>
      <w:bookmarkEnd w:id="128"/>
      <w:bookmarkEnd w:id="129"/>
      <w:r>
        <w:rPr>
          <w:rFonts w:hint="eastAsia" w:cs="宋体"/>
          <w:szCs w:val="28"/>
        </w:rPr>
        <w:t>供货及响应技术方案</w:t>
      </w:r>
    </w:p>
    <w:p>
      <w:pPr>
        <w:spacing w:line="360" w:lineRule="auto"/>
        <w:ind w:firstLine="420" w:firstLineChars="200"/>
        <w:rPr>
          <w:rFonts w:ascii="宋体" w:hAnsi="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供应商依据第三章“货物需求及技术要求”和评分细则自行提供。</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1、人员培训方案</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2、质量保证及售后服务承诺</w:t>
      </w:r>
    </w:p>
    <w:p>
      <w:pPr>
        <w:spacing w:line="360" w:lineRule="auto"/>
        <w:ind w:firstLine="420" w:firstLineChars="200"/>
        <w:rPr>
          <w:rFonts w:ascii="宋体" w:hAnsi="Times New Roman" w:eastAsia="宋体" w:cs="宋体"/>
          <w:szCs w:val="21"/>
        </w:rPr>
      </w:pPr>
      <w:r>
        <w:rPr>
          <w:rFonts w:hint="eastAsia" w:ascii="宋体" w:hAnsi="宋体" w:eastAsia="宋体" w:cs="宋体"/>
          <w:szCs w:val="21"/>
        </w:rPr>
        <w:t>3、谈判响应人认为需要提供的其他内容</w:t>
      </w:r>
    </w:p>
    <w:p>
      <w:pPr>
        <w:spacing w:line="360" w:lineRule="auto"/>
        <w:ind w:firstLine="420" w:firstLineChars="200"/>
        <w:rPr>
          <w:rFonts w:ascii="宋体" w:cs="宋体"/>
          <w:szCs w:val="21"/>
        </w:rPr>
      </w:pPr>
      <w:r>
        <w:rPr>
          <w:rFonts w:hint="eastAsia" w:ascii="宋体" w:hAnsi="Times New Roman" w:eastAsia="宋体" w:cs="宋体"/>
          <w:szCs w:val="21"/>
          <w:lang w:val="en-US" w:eastAsia="zh-CN"/>
        </w:rPr>
        <w:t>......</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9"/>
        <w:pageBreakBefore/>
        <w:rPr>
          <w:rFonts w:cs="宋体"/>
          <w:szCs w:val="28"/>
        </w:rPr>
      </w:pPr>
      <w:bookmarkStart w:id="130" w:name="_Toc17267"/>
      <w:bookmarkStart w:id="131" w:name="_Toc19236"/>
      <w:bookmarkStart w:id="132" w:name="_Toc476584437"/>
      <w:r>
        <w:rPr>
          <w:rFonts w:hint="eastAsia" w:cs="宋体"/>
          <w:szCs w:val="28"/>
        </w:rPr>
        <w:t>六、诚信响应承诺书</w:t>
      </w:r>
      <w:bookmarkEnd w:id="130"/>
      <w:bookmarkEnd w:id="131"/>
      <w:bookmarkEnd w:id="132"/>
    </w:p>
    <w:p>
      <w:pPr>
        <w:rPr>
          <w:rFonts w:ascii="宋体" w:cs="宋体"/>
          <w:b/>
          <w:bCs/>
          <w:sz w:val="24"/>
        </w:rPr>
      </w:pP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本人以企业法定代表人的身份郑重承诺：</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一、将遵循公开、公正和诚实信用的原则自愿参加 </w:t>
      </w:r>
      <w:r>
        <w:rPr>
          <w:rFonts w:hint="eastAsia"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三、不出借、转让资质证书，不让他人挂靠磋商，不以他人名义磋商或者以其他方式弄虚作假，骗取成交；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四、不与其他磋商供应商相互串通响应报价，不排挤其他磋商供应商的公平竞争、损害采购人的合法权益；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五、不与采购单位或其他磋商供应商串通磋商，损害国家利益、社会公共利益或者他人的合法权益；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十、我单位在安徽省公共资源交易市场主体库中录入的信息真实，无编造虚假信息。一旦发现弄虚作假将按有关法律法规和《诚信响应承诺书》中的约定接受处理。</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十一、如在磋商过程和磋商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p>
    <w:p>
      <w:pPr>
        <w:rPr>
          <w:rFonts w:ascii="宋体" w:hAnsi="宋体" w:eastAsia="宋体" w:cs="宋体"/>
          <w:b/>
          <w:bCs/>
          <w:szCs w:val="21"/>
        </w:rPr>
      </w:pPr>
      <w:r>
        <w:rPr>
          <w:rFonts w:hint="eastAsia" w:ascii="宋体" w:hAnsi="宋体" w:eastAsia="宋体" w:cs="宋体"/>
          <w:b/>
          <w:bCs/>
          <w:szCs w:val="21"/>
        </w:rPr>
        <w:t xml:space="preserve">  </w:t>
      </w:r>
    </w:p>
    <w:p>
      <w:pPr>
        <w:jc w:val="center"/>
        <w:rPr>
          <w:rFonts w:ascii="宋体" w:hAnsi="宋体" w:eastAsia="宋体" w:cs="宋体"/>
          <w:b/>
          <w:bCs/>
          <w:szCs w:val="21"/>
        </w:rPr>
      </w:pPr>
      <w:r>
        <w:rPr>
          <w:rFonts w:hint="eastAsia" w:ascii="宋体" w:hAnsi="宋体" w:eastAsia="宋体" w:cs="宋体"/>
          <w:b/>
          <w:bCs/>
          <w:szCs w:val="21"/>
        </w:rPr>
        <w:t xml:space="preserve">供应商（公章）： </w:t>
      </w:r>
    </w:p>
    <w:p>
      <w:pPr>
        <w:ind w:firstLine="5060" w:firstLineChars="2100"/>
        <w:rPr>
          <w:rFonts w:ascii="宋体" w:hAnsi="宋体" w:eastAsia="宋体" w:cs="宋体"/>
          <w:b/>
          <w:sz w:val="24"/>
        </w:rPr>
      </w:pPr>
    </w:p>
    <w:p>
      <w:pPr>
        <w:jc w:val="right"/>
        <w:rPr>
          <w:rFonts w:ascii="宋体" w:hAnsi="宋体" w:eastAsia="宋体" w:cs="宋体"/>
          <w:b/>
          <w:bCs/>
          <w:szCs w:val="21"/>
        </w:rPr>
      </w:pPr>
      <w:r>
        <w:rPr>
          <w:rFonts w:hint="eastAsia" w:ascii="宋体" w:hAnsi="宋体" w:eastAsia="宋体" w:cs="宋体"/>
          <w:b/>
          <w:bCs/>
          <w:szCs w:val="21"/>
        </w:rPr>
        <w:t>法定代表人或委托代理人：</w:t>
      </w:r>
      <w:r>
        <w:rPr>
          <w:rFonts w:hint="eastAsia" w:ascii="宋体" w:hAnsi="宋体" w:eastAsia="宋体" w:cs="宋体"/>
          <w:b/>
          <w:bCs/>
          <w:szCs w:val="21"/>
          <w:u w:val="single"/>
        </w:rPr>
        <w:t xml:space="preserve">           </w:t>
      </w:r>
      <w:r>
        <w:rPr>
          <w:rFonts w:hint="eastAsia" w:ascii="宋体" w:hAnsi="宋体" w:eastAsia="宋体" w:cs="宋体"/>
          <w:b/>
          <w:bCs/>
          <w:szCs w:val="21"/>
        </w:rPr>
        <w:t>（签字或盖章）</w:t>
      </w:r>
    </w:p>
    <w:p>
      <w:pPr>
        <w:ind w:firstLine="3795" w:firstLineChars="1800"/>
        <w:rPr>
          <w:rFonts w:ascii="宋体" w:hAnsi="宋体" w:eastAsia="宋体" w:cs="宋体"/>
          <w:b/>
          <w:bCs/>
          <w:szCs w:val="21"/>
        </w:rPr>
      </w:pPr>
    </w:p>
    <w:p>
      <w:pPr>
        <w:jc w:val="right"/>
        <w:rPr>
          <w:rFonts w:ascii="宋体" w:hAnsi="宋体" w:eastAsia="宋体" w:cs="宋体"/>
          <w:b/>
          <w:bCs/>
          <w:sz w:val="24"/>
        </w:rPr>
      </w:pPr>
      <w:r>
        <w:rPr>
          <w:rFonts w:hint="eastAsia" w:ascii="宋体" w:hAnsi="宋体" w:eastAsia="宋体" w:cs="宋体"/>
          <w:b/>
          <w:bCs/>
          <w:sz w:val="24"/>
        </w:rPr>
        <w:t>日期：</w:t>
      </w:r>
      <w:r>
        <w:rPr>
          <w:rFonts w:ascii="宋体" w:hAnsi="宋体" w:eastAsia="宋体" w:cs="宋体"/>
          <w:b/>
          <w:bCs/>
          <w:sz w:val="24"/>
        </w:rPr>
        <w:t>_____</w:t>
      </w:r>
      <w:r>
        <w:rPr>
          <w:rFonts w:hint="eastAsia" w:ascii="宋体" w:hAnsi="宋体" w:eastAsia="宋体" w:cs="宋体"/>
          <w:b/>
          <w:bCs/>
          <w:sz w:val="24"/>
        </w:rPr>
        <w:t>年</w:t>
      </w:r>
      <w:r>
        <w:rPr>
          <w:rFonts w:ascii="宋体" w:hAnsi="宋体" w:eastAsia="宋体" w:cs="宋体"/>
          <w:b/>
          <w:bCs/>
          <w:sz w:val="24"/>
        </w:rPr>
        <w:t>____</w:t>
      </w:r>
      <w:r>
        <w:rPr>
          <w:rFonts w:hint="eastAsia" w:ascii="宋体" w:hAnsi="宋体" w:eastAsia="宋体" w:cs="宋体"/>
          <w:b/>
          <w:bCs/>
          <w:sz w:val="24"/>
        </w:rPr>
        <w:t>月</w:t>
      </w:r>
      <w:r>
        <w:rPr>
          <w:rFonts w:ascii="宋体" w:hAnsi="宋体" w:eastAsia="宋体" w:cs="宋体"/>
          <w:b/>
          <w:bCs/>
          <w:sz w:val="24"/>
        </w:rPr>
        <w:t>____</w:t>
      </w:r>
      <w:r>
        <w:rPr>
          <w:rFonts w:hint="eastAsia" w:ascii="宋体" w:hAnsi="宋体" w:eastAsia="宋体" w:cs="宋体"/>
          <w:b/>
          <w:bCs/>
          <w:sz w:val="24"/>
        </w:rPr>
        <w:t>日</w:t>
      </w:r>
    </w:p>
    <w:p>
      <w:pPr>
        <w:jc w:val="right"/>
        <w:rPr>
          <w:rFonts w:ascii="宋体" w:hAnsi="宋体" w:cs="宋体"/>
          <w:b/>
          <w:bCs/>
          <w:sz w:val="24"/>
        </w:rPr>
      </w:pPr>
    </w:p>
    <w:p>
      <w:pPr>
        <w:rPr>
          <w:rFonts w:ascii="宋体" w:hAnsi="宋体" w:cs="宋体"/>
          <w:b/>
          <w:bCs/>
          <w:sz w:val="24"/>
        </w:rPr>
      </w:pPr>
    </w:p>
    <w:p>
      <w:pPr>
        <w:pStyle w:val="9"/>
      </w:pPr>
      <w:bookmarkStart w:id="133" w:name="_Toc476584438"/>
      <w:bookmarkStart w:id="134" w:name="_Toc26001"/>
      <w:r>
        <w:rPr>
          <w:rFonts w:hint="eastAsia"/>
        </w:rPr>
        <w:t>七、资格证明文件</w:t>
      </w:r>
      <w:bookmarkEnd w:id="133"/>
      <w:bookmarkEnd w:id="134"/>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asci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firstLine="420" w:firstLineChars="200"/>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left="422"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420" w:leftChars="200"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left="422"/>
        <w:rPr>
          <w:rFonts w:ascii="宋体" w:hAnsi="宋体"/>
          <w:szCs w:val="21"/>
          <w:highlight w:val="yellow"/>
        </w:rPr>
      </w:pPr>
    </w:p>
    <w:p>
      <w:pPr>
        <w:spacing w:line="360" w:lineRule="auto"/>
        <w:ind w:left="422"/>
        <w:jc w:val="right"/>
        <w:rPr>
          <w:rFonts w:ascii="宋体" w:hAnsi="宋体"/>
          <w:strike/>
          <w:szCs w:val="21"/>
          <w:highlight w:val="yellow"/>
        </w:rPr>
      </w:pP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ascii="宋体" w:hAnsi="宋体"/>
          <w:szCs w:val="21"/>
        </w:rPr>
        <w:t>4</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、履行合同所必需的设备和专业技术能力证明材料；（由响应单位根据项目需要决定是否填写）</w:t>
      </w:r>
    </w:p>
    <w:p>
      <w:pPr>
        <w:spacing w:line="360" w:lineRule="auto"/>
        <w:rPr>
          <w:rFonts w:ascii="宋体" w:hAnsi="宋体"/>
          <w:szCs w:val="21"/>
        </w:rPr>
      </w:pPr>
      <w:r>
        <w:rPr>
          <w:rFonts w:hint="eastAsia" w:ascii="宋体" w:hAnsi="宋体"/>
          <w:szCs w:val="21"/>
        </w:rPr>
        <w:t>（1）服务于本项目的专业设备一览表</w:t>
      </w:r>
    </w:p>
    <w:tbl>
      <w:tblPr>
        <w:tblStyle w:val="61"/>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1"/>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rPr>
          <w:rFonts w:ascii="宋体" w:cs="宋体"/>
          <w:strike/>
          <w:szCs w:val="21"/>
          <w:highlight w:val="yellow"/>
        </w:rPr>
      </w:pPr>
    </w:p>
    <w:p>
      <w:pPr>
        <w:spacing w:line="360" w:lineRule="auto"/>
        <w:ind w:firstLine="420" w:firstLineChars="200"/>
        <w:rPr>
          <w:rFonts w:ascii="宋体" w:cs="宋体"/>
          <w:b/>
          <w:spacing w:val="-4"/>
          <w:kern w:val="0"/>
          <w:szCs w:val="21"/>
        </w:rPr>
      </w:pPr>
      <w:r>
        <w:rPr>
          <w:rFonts w:hint="eastAsia" w:ascii="宋体" w:hAnsi="宋体" w:cs="宋体"/>
          <w:szCs w:val="21"/>
          <w:lang w:val="en-US" w:eastAsia="zh-CN"/>
        </w:rPr>
        <w:t>7</w:t>
      </w:r>
      <w:r>
        <w:rPr>
          <w:rFonts w:hint="eastAsia" w:ascii="宋体" w:hAnsi="宋体" w:cs="宋体"/>
          <w:szCs w:val="21"/>
        </w:rPr>
        <w:t>、本项目磋商文件中要求供应商提供的其他证明材料。</w:t>
      </w:r>
    </w:p>
    <w:p>
      <w:pPr>
        <w:spacing w:line="360" w:lineRule="auto"/>
        <w:ind w:firstLine="404" w:firstLineChars="200"/>
        <w:rPr>
          <w:rFonts w:ascii="宋体" w:cs="宋体"/>
          <w:b/>
          <w:spacing w:val="-4"/>
          <w:kern w:val="0"/>
          <w:szCs w:val="21"/>
        </w:rPr>
      </w:pPr>
      <w:r>
        <w:rPr>
          <w:rFonts w:hint="eastAsia" w:ascii="宋体" w:hAnsi="宋体" w:cs="宋体"/>
          <w:spacing w:val="-4"/>
          <w:kern w:val="0"/>
          <w:szCs w:val="21"/>
          <w:lang w:val="en-US" w:eastAsia="zh-CN"/>
        </w:rPr>
        <w:t>8</w:t>
      </w:r>
      <w:r>
        <w:rPr>
          <w:rFonts w:hint="eastAsia" w:ascii="宋体" w:hAnsi="宋体" w:cs="宋体"/>
          <w:spacing w:val="-4"/>
          <w:kern w:val="0"/>
          <w:szCs w:val="21"/>
        </w:rPr>
        <w:t>、</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pStyle w:val="2"/>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2"/>
        <w:rPr>
          <w:rFonts w:ascii="宋体" w:cs="宋体"/>
          <w:b/>
          <w:spacing w:val="-4"/>
          <w:kern w:val="0"/>
        </w:rPr>
      </w:pPr>
    </w:p>
    <w:sectPr>
      <w:headerReference r:id="rId7" w:type="default"/>
      <w:footerReference r:id="rId8" w:type="default"/>
      <w:pgSz w:w="11906" w:h="16838"/>
      <w:pgMar w:top="1417" w:right="1633" w:bottom="1417" w:left="1633" w:header="851" w:footer="992" w:gutter="0"/>
      <w:pgBorders>
        <w:bottom w:val="single" w:color="auto" w:sz="4" w:space="1"/>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Dotum">
    <w:altName w:val="Malgun Gothic"/>
    <w:panose1 w:val="020B0600000101010101"/>
    <w:charset w:val="81"/>
    <w:family w:val="modern"/>
    <w:pitch w:val="default"/>
    <w:sig w:usb0="00000000" w:usb1="00000000" w:usb2="00000010" w:usb3="00000000" w:csb0="00080000"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宋体"/>
      </w:rP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8"/>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eastAsia="楷体_GB2312"/>
        <w:bCs/>
        <w:iCs/>
        <w:lang w:eastAsia="zh-CN"/>
      </w:rPr>
    </w:pPr>
    <w:r>
      <w:rPr>
        <w:rFonts w:hint="eastAsia" w:eastAsia="楷体_GB2312"/>
        <w:bCs/>
        <w:iCs/>
        <w:lang w:eastAsia="zh-CN"/>
      </w:rPr>
      <w:t>安庆皖江高科创业服务有限公司环保车辆采购项目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3F63F"/>
    <w:multiLevelType w:val="singleLevel"/>
    <w:tmpl w:val="DBC3F63F"/>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bullet"/>
      <w:pStyle w:val="32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57"/>
      <w:lvlText w:val=""/>
      <w:lvlJc w:val="left"/>
      <w:pPr>
        <w:tabs>
          <w:tab w:val="left" w:pos="360"/>
        </w:tabs>
        <w:ind w:left="360" w:hanging="360"/>
      </w:pPr>
      <w:rPr>
        <w:rFonts w:hint="default" w:ascii="Symbol" w:hAnsi="Symbol"/>
      </w:rPr>
    </w:lvl>
  </w:abstractNum>
  <w:abstractNum w:abstractNumId="3">
    <w:nsid w:val="0000000C"/>
    <w:multiLevelType w:val="singleLevel"/>
    <w:tmpl w:val="0000000C"/>
    <w:lvl w:ilvl="0" w:tentative="0">
      <w:start w:val="1"/>
      <w:numFmt w:val="chineseCounting"/>
      <w:suff w:val="nothing"/>
      <w:lvlText w:val="%1、"/>
      <w:lvlJc w:val="left"/>
      <w:rPr>
        <w:rFonts w:cs="Times New Roman"/>
      </w:rPr>
    </w:lvl>
  </w:abstractNum>
  <w:abstractNum w:abstractNumId="4">
    <w:nsid w:val="0000000D"/>
    <w:multiLevelType w:val="singleLevel"/>
    <w:tmpl w:val="0000000D"/>
    <w:lvl w:ilvl="0" w:tentative="0">
      <w:start w:val="2"/>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44"/>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2"/>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7"/>
    <w:multiLevelType w:val="singleLevel"/>
    <w:tmpl w:val="00000017"/>
    <w:lvl w:ilvl="0" w:tentative="0">
      <w:start w:val="11"/>
      <w:numFmt w:val="decimal"/>
      <w:suff w:val="nothing"/>
      <w:lvlText w:val="%1、"/>
      <w:lvlJc w:val="left"/>
      <w:rPr>
        <w:rFonts w:cs="Times New Roman"/>
      </w:rPr>
    </w:lvl>
  </w:abstractNum>
  <w:abstractNum w:abstractNumId="7">
    <w:nsid w:val="00000018"/>
    <w:multiLevelType w:val="singleLevel"/>
    <w:tmpl w:val="00000018"/>
    <w:lvl w:ilvl="0" w:tentative="0">
      <w:start w:val="4"/>
      <w:numFmt w:val="chineseCounting"/>
      <w:suff w:val="nothing"/>
      <w:lvlText w:val="%1、"/>
      <w:lvlJc w:val="left"/>
      <w:rPr>
        <w:rFonts w:cs="Times New Roman"/>
      </w:rPr>
    </w:lvl>
  </w:abstractNum>
  <w:abstractNum w:abstractNumId="8">
    <w:nsid w:val="093F8F24"/>
    <w:multiLevelType w:val="singleLevel"/>
    <w:tmpl w:val="093F8F24"/>
    <w:lvl w:ilvl="0" w:tentative="0">
      <w:start w:val="1"/>
      <w:numFmt w:val="decimal"/>
      <w:suff w:val="nothing"/>
      <w:lvlText w:val="%1、"/>
      <w:lvlJc w:val="left"/>
    </w:lvl>
  </w:abstractNum>
  <w:abstractNum w:abstractNumId="9">
    <w:nsid w:val="24366283"/>
    <w:multiLevelType w:val="multilevel"/>
    <w:tmpl w:val="24366283"/>
    <w:lvl w:ilvl="0" w:tentative="0">
      <w:start w:val="1"/>
      <w:numFmt w:val="decimal"/>
      <w:pStyle w:val="349"/>
      <w:lvlText w:val="%1"/>
      <w:lvlJc w:val="left"/>
      <w:pPr>
        <w:tabs>
          <w:tab w:val="left" w:pos="567"/>
        </w:tabs>
        <w:ind w:left="567" w:hanging="567"/>
      </w:pPr>
      <w:rPr>
        <w:rFonts w:hint="eastAsia" w:cs="Times New Roman"/>
      </w:rPr>
    </w:lvl>
    <w:lvl w:ilvl="1" w:tentative="0">
      <w:start w:val="1"/>
      <w:numFmt w:val="decimal"/>
      <w:pStyle w:val="346"/>
      <w:lvlText w:val="%1.%2"/>
      <w:lvlJc w:val="left"/>
      <w:pPr>
        <w:tabs>
          <w:tab w:val="left" w:pos="1004"/>
        </w:tabs>
        <w:ind w:left="567" w:hanging="283"/>
      </w:pPr>
      <w:rPr>
        <w:rFonts w:hint="eastAsia" w:cs="Times New Roman"/>
      </w:rPr>
    </w:lvl>
    <w:lvl w:ilvl="2" w:tentative="0">
      <w:start w:val="1"/>
      <w:numFmt w:val="decimal"/>
      <w:pStyle w:val="345"/>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0">
    <w:nsid w:val="31915033"/>
    <w:multiLevelType w:val="singleLevel"/>
    <w:tmpl w:val="31915033"/>
    <w:lvl w:ilvl="0" w:tentative="0">
      <w:start w:val="1"/>
      <w:numFmt w:val="decimal"/>
      <w:suff w:val="nothing"/>
      <w:lvlText w:val="%1、"/>
      <w:lvlJc w:val="left"/>
      <w:pPr>
        <w:ind w:left="0"/>
      </w:pPr>
    </w:lvl>
  </w:abstractNum>
  <w:abstractNum w:abstractNumId="11">
    <w:nsid w:val="56FAC4AF"/>
    <w:multiLevelType w:val="singleLevel"/>
    <w:tmpl w:val="56FAC4AF"/>
    <w:lvl w:ilvl="0" w:tentative="0">
      <w:start w:val="3"/>
      <w:numFmt w:val="chineseCounting"/>
      <w:suff w:val="space"/>
      <w:lvlText w:val="第%1章"/>
      <w:lvlJc w:val="left"/>
      <w:rPr>
        <w:rFonts w:hint="eastAsia"/>
      </w:rPr>
    </w:lvl>
  </w:abstractNum>
  <w:num w:numId="1">
    <w:abstractNumId w:val="1"/>
  </w:num>
  <w:num w:numId="2">
    <w:abstractNumId w:val="5"/>
  </w:num>
  <w:num w:numId="3">
    <w:abstractNumId w:val="9"/>
  </w:num>
  <w:num w:numId="4">
    <w:abstractNumId w:val="2"/>
  </w:num>
  <w:num w:numId="5">
    <w:abstractNumId w:val="6"/>
  </w:num>
  <w:num w:numId="6">
    <w:abstractNumId w:val="8"/>
  </w:num>
  <w:num w:numId="7">
    <w:abstractNumId w:val="11"/>
  </w:num>
  <w:num w:numId="8">
    <w:abstractNumId w:val="0"/>
  </w:num>
  <w:num w:numId="9">
    <w:abstractNumId w:val="1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jYTA2NWVlMjZiZWExNDM3NWU0MmQ0N2Q1MmJiZDcifQ=="/>
  </w:docVars>
  <w:rsids>
    <w:rsidRoot w:val="00172A27"/>
    <w:rsid w:val="00010694"/>
    <w:rsid w:val="00011FD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0D6B27"/>
    <w:rsid w:val="000E5109"/>
    <w:rsid w:val="001025CA"/>
    <w:rsid w:val="00106568"/>
    <w:rsid w:val="0011028C"/>
    <w:rsid w:val="001108AC"/>
    <w:rsid w:val="00116DDE"/>
    <w:rsid w:val="001238B8"/>
    <w:rsid w:val="00125483"/>
    <w:rsid w:val="00126CB2"/>
    <w:rsid w:val="0012783F"/>
    <w:rsid w:val="001347C2"/>
    <w:rsid w:val="00134A59"/>
    <w:rsid w:val="001509DE"/>
    <w:rsid w:val="00153D99"/>
    <w:rsid w:val="00157A32"/>
    <w:rsid w:val="00160F44"/>
    <w:rsid w:val="0016586D"/>
    <w:rsid w:val="00171D5E"/>
    <w:rsid w:val="00172A27"/>
    <w:rsid w:val="00195685"/>
    <w:rsid w:val="001A2433"/>
    <w:rsid w:val="001B1EF8"/>
    <w:rsid w:val="001B3868"/>
    <w:rsid w:val="001B6DBE"/>
    <w:rsid w:val="001C2583"/>
    <w:rsid w:val="001C3A1C"/>
    <w:rsid w:val="001D7738"/>
    <w:rsid w:val="001E606E"/>
    <w:rsid w:val="001F1418"/>
    <w:rsid w:val="00225FE3"/>
    <w:rsid w:val="00232BD2"/>
    <w:rsid w:val="0025055D"/>
    <w:rsid w:val="00252D15"/>
    <w:rsid w:val="00257B90"/>
    <w:rsid w:val="00261B95"/>
    <w:rsid w:val="002663B5"/>
    <w:rsid w:val="00294358"/>
    <w:rsid w:val="002978A1"/>
    <w:rsid w:val="002D175B"/>
    <w:rsid w:val="002D42AE"/>
    <w:rsid w:val="002E6F12"/>
    <w:rsid w:val="002E771A"/>
    <w:rsid w:val="00304744"/>
    <w:rsid w:val="00305365"/>
    <w:rsid w:val="00311A8E"/>
    <w:rsid w:val="003220E6"/>
    <w:rsid w:val="00322B16"/>
    <w:rsid w:val="00331AEF"/>
    <w:rsid w:val="0033394A"/>
    <w:rsid w:val="00342549"/>
    <w:rsid w:val="00342C36"/>
    <w:rsid w:val="00345160"/>
    <w:rsid w:val="003459FF"/>
    <w:rsid w:val="00350D0E"/>
    <w:rsid w:val="00357345"/>
    <w:rsid w:val="00362474"/>
    <w:rsid w:val="003761AE"/>
    <w:rsid w:val="00386932"/>
    <w:rsid w:val="003A3866"/>
    <w:rsid w:val="003A575B"/>
    <w:rsid w:val="003A5835"/>
    <w:rsid w:val="003A6123"/>
    <w:rsid w:val="003B16EE"/>
    <w:rsid w:val="003C1917"/>
    <w:rsid w:val="003C194F"/>
    <w:rsid w:val="003C2743"/>
    <w:rsid w:val="003C4132"/>
    <w:rsid w:val="003C5DB5"/>
    <w:rsid w:val="003D04EA"/>
    <w:rsid w:val="003E0FD3"/>
    <w:rsid w:val="003E5657"/>
    <w:rsid w:val="003F7468"/>
    <w:rsid w:val="004004D2"/>
    <w:rsid w:val="004059EB"/>
    <w:rsid w:val="00406A40"/>
    <w:rsid w:val="00432F86"/>
    <w:rsid w:val="004430CB"/>
    <w:rsid w:val="004439D2"/>
    <w:rsid w:val="004474A8"/>
    <w:rsid w:val="004477BC"/>
    <w:rsid w:val="00450D0D"/>
    <w:rsid w:val="004531A3"/>
    <w:rsid w:val="00454A10"/>
    <w:rsid w:val="0047383D"/>
    <w:rsid w:val="00480FA5"/>
    <w:rsid w:val="00491D34"/>
    <w:rsid w:val="00492186"/>
    <w:rsid w:val="004957EB"/>
    <w:rsid w:val="004B3E89"/>
    <w:rsid w:val="004D6BFF"/>
    <w:rsid w:val="004F32F5"/>
    <w:rsid w:val="004F4169"/>
    <w:rsid w:val="004F5C82"/>
    <w:rsid w:val="00500BD1"/>
    <w:rsid w:val="00501CF9"/>
    <w:rsid w:val="00507C43"/>
    <w:rsid w:val="00521E3F"/>
    <w:rsid w:val="005238E3"/>
    <w:rsid w:val="00523A67"/>
    <w:rsid w:val="00532C96"/>
    <w:rsid w:val="00533798"/>
    <w:rsid w:val="00534873"/>
    <w:rsid w:val="00536448"/>
    <w:rsid w:val="005376EB"/>
    <w:rsid w:val="00540A2A"/>
    <w:rsid w:val="005436D0"/>
    <w:rsid w:val="0054600D"/>
    <w:rsid w:val="00551580"/>
    <w:rsid w:val="00554F65"/>
    <w:rsid w:val="00560BB4"/>
    <w:rsid w:val="005614A3"/>
    <w:rsid w:val="00567DA2"/>
    <w:rsid w:val="00570BA9"/>
    <w:rsid w:val="00577ADB"/>
    <w:rsid w:val="00585656"/>
    <w:rsid w:val="00587AAA"/>
    <w:rsid w:val="00593381"/>
    <w:rsid w:val="00596137"/>
    <w:rsid w:val="005A2494"/>
    <w:rsid w:val="005A383A"/>
    <w:rsid w:val="005A440D"/>
    <w:rsid w:val="005A5824"/>
    <w:rsid w:val="005A7B77"/>
    <w:rsid w:val="005B05C6"/>
    <w:rsid w:val="005B1EB0"/>
    <w:rsid w:val="005B5D0C"/>
    <w:rsid w:val="005C793D"/>
    <w:rsid w:val="005D4A9A"/>
    <w:rsid w:val="005F1476"/>
    <w:rsid w:val="005F2A9D"/>
    <w:rsid w:val="00602580"/>
    <w:rsid w:val="00624C59"/>
    <w:rsid w:val="00625F94"/>
    <w:rsid w:val="00627215"/>
    <w:rsid w:val="00631E06"/>
    <w:rsid w:val="006443D9"/>
    <w:rsid w:val="00660ECC"/>
    <w:rsid w:val="00664E0D"/>
    <w:rsid w:val="006729F3"/>
    <w:rsid w:val="00693ACE"/>
    <w:rsid w:val="006A479F"/>
    <w:rsid w:val="006B1B74"/>
    <w:rsid w:val="006B3D08"/>
    <w:rsid w:val="006B43C0"/>
    <w:rsid w:val="006C09C6"/>
    <w:rsid w:val="006C20A1"/>
    <w:rsid w:val="006C6A6D"/>
    <w:rsid w:val="006D61A6"/>
    <w:rsid w:val="006E68C8"/>
    <w:rsid w:val="006F4F85"/>
    <w:rsid w:val="006F7843"/>
    <w:rsid w:val="007218F9"/>
    <w:rsid w:val="00721FCA"/>
    <w:rsid w:val="007230C0"/>
    <w:rsid w:val="00723B64"/>
    <w:rsid w:val="00726AD2"/>
    <w:rsid w:val="0072738C"/>
    <w:rsid w:val="00730754"/>
    <w:rsid w:val="00730852"/>
    <w:rsid w:val="00741C13"/>
    <w:rsid w:val="007430F0"/>
    <w:rsid w:val="007538D1"/>
    <w:rsid w:val="0075613D"/>
    <w:rsid w:val="00757D5F"/>
    <w:rsid w:val="007674B8"/>
    <w:rsid w:val="0078143C"/>
    <w:rsid w:val="00797C5C"/>
    <w:rsid w:val="007B1753"/>
    <w:rsid w:val="007B3D3B"/>
    <w:rsid w:val="007B405E"/>
    <w:rsid w:val="007B515F"/>
    <w:rsid w:val="007C370F"/>
    <w:rsid w:val="007C3B3D"/>
    <w:rsid w:val="007D6550"/>
    <w:rsid w:val="007E2B7D"/>
    <w:rsid w:val="007E3CD9"/>
    <w:rsid w:val="007F04FE"/>
    <w:rsid w:val="00800808"/>
    <w:rsid w:val="00800EA5"/>
    <w:rsid w:val="00803137"/>
    <w:rsid w:val="00805BCB"/>
    <w:rsid w:val="00815A2C"/>
    <w:rsid w:val="00822903"/>
    <w:rsid w:val="00826F6A"/>
    <w:rsid w:val="00833F8F"/>
    <w:rsid w:val="008432C7"/>
    <w:rsid w:val="00843B36"/>
    <w:rsid w:val="00845B49"/>
    <w:rsid w:val="00847D7D"/>
    <w:rsid w:val="00852759"/>
    <w:rsid w:val="00853220"/>
    <w:rsid w:val="00870FA7"/>
    <w:rsid w:val="0089181C"/>
    <w:rsid w:val="008A3516"/>
    <w:rsid w:val="008A4E65"/>
    <w:rsid w:val="008A4F54"/>
    <w:rsid w:val="008B0930"/>
    <w:rsid w:val="008C1956"/>
    <w:rsid w:val="008D5EF4"/>
    <w:rsid w:val="008E54CF"/>
    <w:rsid w:val="008E5BB6"/>
    <w:rsid w:val="008F239A"/>
    <w:rsid w:val="008F4221"/>
    <w:rsid w:val="00902CD4"/>
    <w:rsid w:val="00904018"/>
    <w:rsid w:val="00912972"/>
    <w:rsid w:val="00915FF4"/>
    <w:rsid w:val="00924828"/>
    <w:rsid w:val="00933B4D"/>
    <w:rsid w:val="00936F7B"/>
    <w:rsid w:val="0093793B"/>
    <w:rsid w:val="00955923"/>
    <w:rsid w:val="00967E98"/>
    <w:rsid w:val="009717B8"/>
    <w:rsid w:val="00975C53"/>
    <w:rsid w:val="00986387"/>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43BD"/>
    <w:rsid w:val="00A070F7"/>
    <w:rsid w:val="00A22642"/>
    <w:rsid w:val="00A22C96"/>
    <w:rsid w:val="00A22DD7"/>
    <w:rsid w:val="00A237A5"/>
    <w:rsid w:val="00A31F68"/>
    <w:rsid w:val="00A40E26"/>
    <w:rsid w:val="00A53E8C"/>
    <w:rsid w:val="00A63F08"/>
    <w:rsid w:val="00A70A3D"/>
    <w:rsid w:val="00A8009F"/>
    <w:rsid w:val="00A828AE"/>
    <w:rsid w:val="00A86320"/>
    <w:rsid w:val="00AA1BBC"/>
    <w:rsid w:val="00AA4034"/>
    <w:rsid w:val="00AB0660"/>
    <w:rsid w:val="00AB4713"/>
    <w:rsid w:val="00AB5EDD"/>
    <w:rsid w:val="00AE5910"/>
    <w:rsid w:val="00B03542"/>
    <w:rsid w:val="00B058E8"/>
    <w:rsid w:val="00B07DD3"/>
    <w:rsid w:val="00B1159D"/>
    <w:rsid w:val="00B12DDB"/>
    <w:rsid w:val="00B20DA9"/>
    <w:rsid w:val="00B260FE"/>
    <w:rsid w:val="00B27A8E"/>
    <w:rsid w:val="00B30C14"/>
    <w:rsid w:val="00B328E7"/>
    <w:rsid w:val="00B425D7"/>
    <w:rsid w:val="00B45ABB"/>
    <w:rsid w:val="00B71E7C"/>
    <w:rsid w:val="00B73AE7"/>
    <w:rsid w:val="00B74E46"/>
    <w:rsid w:val="00B85725"/>
    <w:rsid w:val="00B903F4"/>
    <w:rsid w:val="00B93271"/>
    <w:rsid w:val="00B93AE2"/>
    <w:rsid w:val="00B93CB1"/>
    <w:rsid w:val="00B96146"/>
    <w:rsid w:val="00B96409"/>
    <w:rsid w:val="00B96BED"/>
    <w:rsid w:val="00BA1AE5"/>
    <w:rsid w:val="00BA2710"/>
    <w:rsid w:val="00BA6247"/>
    <w:rsid w:val="00BA64F3"/>
    <w:rsid w:val="00BA791D"/>
    <w:rsid w:val="00BC07AF"/>
    <w:rsid w:val="00BC0B72"/>
    <w:rsid w:val="00BC64D2"/>
    <w:rsid w:val="00BD7EBA"/>
    <w:rsid w:val="00BE0AB0"/>
    <w:rsid w:val="00BE43CC"/>
    <w:rsid w:val="00BE5F6C"/>
    <w:rsid w:val="00C00A93"/>
    <w:rsid w:val="00C04F27"/>
    <w:rsid w:val="00C16558"/>
    <w:rsid w:val="00C17674"/>
    <w:rsid w:val="00C213A0"/>
    <w:rsid w:val="00C26F7E"/>
    <w:rsid w:val="00C34E1A"/>
    <w:rsid w:val="00C3720F"/>
    <w:rsid w:val="00C4354B"/>
    <w:rsid w:val="00C50391"/>
    <w:rsid w:val="00C52220"/>
    <w:rsid w:val="00C70C5B"/>
    <w:rsid w:val="00C80A64"/>
    <w:rsid w:val="00C82587"/>
    <w:rsid w:val="00C834A4"/>
    <w:rsid w:val="00CA1E22"/>
    <w:rsid w:val="00CA5BBE"/>
    <w:rsid w:val="00CB1DDE"/>
    <w:rsid w:val="00CB2CDF"/>
    <w:rsid w:val="00CB3ADB"/>
    <w:rsid w:val="00CB3CCA"/>
    <w:rsid w:val="00CB4042"/>
    <w:rsid w:val="00CB4690"/>
    <w:rsid w:val="00CC165F"/>
    <w:rsid w:val="00CC1A8B"/>
    <w:rsid w:val="00CC27E5"/>
    <w:rsid w:val="00CC6D72"/>
    <w:rsid w:val="00CE2ABB"/>
    <w:rsid w:val="00D07D7D"/>
    <w:rsid w:val="00D248BB"/>
    <w:rsid w:val="00D25DBD"/>
    <w:rsid w:val="00D308B3"/>
    <w:rsid w:val="00D47E57"/>
    <w:rsid w:val="00D5688F"/>
    <w:rsid w:val="00D5782D"/>
    <w:rsid w:val="00D620F1"/>
    <w:rsid w:val="00D63918"/>
    <w:rsid w:val="00D94D5B"/>
    <w:rsid w:val="00D95AF3"/>
    <w:rsid w:val="00DA71BF"/>
    <w:rsid w:val="00DB376D"/>
    <w:rsid w:val="00DB380C"/>
    <w:rsid w:val="00DB4D62"/>
    <w:rsid w:val="00DB61C7"/>
    <w:rsid w:val="00DB7A4F"/>
    <w:rsid w:val="00DC3960"/>
    <w:rsid w:val="00DC650B"/>
    <w:rsid w:val="00DD336F"/>
    <w:rsid w:val="00DD419A"/>
    <w:rsid w:val="00DF3FD2"/>
    <w:rsid w:val="00DF4E36"/>
    <w:rsid w:val="00DF7284"/>
    <w:rsid w:val="00E10AEA"/>
    <w:rsid w:val="00E12D33"/>
    <w:rsid w:val="00E15E75"/>
    <w:rsid w:val="00E2639A"/>
    <w:rsid w:val="00E27F44"/>
    <w:rsid w:val="00E45139"/>
    <w:rsid w:val="00E476BB"/>
    <w:rsid w:val="00E51A63"/>
    <w:rsid w:val="00E60F28"/>
    <w:rsid w:val="00E665BE"/>
    <w:rsid w:val="00E7469E"/>
    <w:rsid w:val="00E768D2"/>
    <w:rsid w:val="00E776E4"/>
    <w:rsid w:val="00E81C4E"/>
    <w:rsid w:val="00E86C08"/>
    <w:rsid w:val="00E91570"/>
    <w:rsid w:val="00EA2046"/>
    <w:rsid w:val="00EA24FB"/>
    <w:rsid w:val="00EA50D0"/>
    <w:rsid w:val="00EA5804"/>
    <w:rsid w:val="00EB230D"/>
    <w:rsid w:val="00EB6CC4"/>
    <w:rsid w:val="00EC000B"/>
    <w:rsid w:val="00EC1E1E"/>
    <w:rsid w:val="00EC2DCD"/>
    <w:rsid w:val="00EC4D04"/>
    <w:rsid w:val="00ED22A1"/>
    <w:rsid w:val="00EE37CA"/>
    <w:rsid w:val="00EE5BB5"/>
    <w:rsid w:val="00EF2567"/>
    <w:rsid w:val="00F04AD7"/>
    <w:rsid w:val="00F16D17"/>
    <w:rsid w:val="00F23563"/>
    <w:rsid w:val="00F350B4"/>
    <w:rsid w:val="00F4261A"/>
    <w:rsid w:val="00F46EA7"/>
    <w:rsid w:val="00F629E7"/>
    <w:rsid w:val="00F7647B"/>
    <w:rsid w:val="00F929B1"/>
    <w:rsid w:val="00F9508F"/>
    <w:rsid w:val="00FA728E"/>
    <w:rsid w:val="00FB57EE"/>
    <w:rsid w:val="00FB654E"/>
    <w:rsid w:val="00FC682E"/>
    <w:rsid w:val="00FD138A"/>
    <w:rsid w:val="00FE506C"/>
    <w:rsid w:val="00FF158F"/>
    <w:rsid w:val="00FF22A3"/>
    <w:rsid w:val="00FF323D"/>
    <w:rsid w:val="010B044B"/>
    <w:rsid w:val="01311567"/>
    <w:rsid w:val="018D6B2A"/>
    <w:rsid w:val="018E0A01"/>
    <w:rsid w:val="01F636AA"/>
    <w:rsid w:val="020565FC"/>
    <w:rsid w:val="022655F4"/>
    <w:rsid w:val="02A14397"/>
    <w:rsid w:val="02D908B8"/>
    <w:rsid w:val="02EB264D"/>
    <w:rsid w:val="034D6BB0"/>
    <w:rsid w:val="037A476A"/>
    <w:rsid w:val="03F478E8"/>
    <w:rsid w:val="04104DE8"/>
    <w:rsid w:val="0416288B"/>
    <w:rsid w:val="04225FD9"/>
    <w:rsid w:val="04272D5A"/>
    <w:rsid w:val="044B6F6C"/>
    <w:rsid w:val="04690522"/>
    <w:rsid w:val="047B10D1"/>
    <w:rsid w:val="04DA26C6"/>
    <w:rsid w:val="05096B07"/>
    <w:rsid w:val="053E0EA6"/>
    <w:rsid w:val="05483AD3"/>
    <w:rsid w:val="05560051"/>
    <w:rsid w:val="05864389"/>
    <w:rsid w:val="05A26002"/>
    <w:rsid w:val="05A4392C"/>
    <w:rsid w:val="05BD626F"/>
    <w:rsid w:val="05CC7EB0"/>
    <w:rsid w:val="05D46C82"/>
    <w:rsid w:val="05DD4740"/>
    <w:rsid w:val="05F31C91"/>
    <w:rsid w:val="060542FA"/>
    <w:rsid w:val="061032ED"/>
    <w:rsid w:val="06622424"/>
    <w:rsid w:val="067F2A87"/>
    <w:rsid w:val="06A63E36"/>
    <w:rsid w:val="06B833C2"/>
    <w:rsid w:val="06BE3C11"/>
    <w:rsid w:val="06CB7F45"/>
    <w:rsid w:val="06DE2F2D"/>
    <w:rsid w:val="070E58EA"/>
    <w:rsid w:val="071D4AEC"/>
    <w:rsid w:val="073A2B1A"/>
    <w:rsid w:val="075A3457"/>
    <w:rsid w:val="076E366A"/>
    <w:rsid w:val="07887FD8"/>
    <w:rsid w:val="079E16F2"/>
    <w:rsid w:val="07D94EB6"/>
    <w:rsid w:val="07E21D5A"/>
    <w:rsid w:val="07FE5178"/>
    <w:rsid w:val="0826623B"/>
    <w:rsid w:val="082E34FD"/>
    <w:rsid w:val="08344256"/>
    <w:rsid w:val="08383BC8"/>
    <w:rsid w:val="0870581B"/>
    <w:rsid w:val="088015DA"/>
    <w:rsid w:val="08B93C0B"/>
    <w:rsid w:val="08D64418"/>
    <w:rsid w:val="08EE7F45"/>
    <w:rsid w:val="0919443A"/>
    <w:rsid w:val="093D1475"/>
    <w:rsid w:val="0948006D"/>
    <w:rsid w:val="09642BA8"/>
    <w:rsid w:val="098D5F59"/>
    <w:rsid w:val="098F7F23"/>
    <w:rsid w:val="09A60DC8"/>
    <w:rsid w:val="09A9296B"/>
    <w:rsid w:val="09DD14FD"/>
    <w:rsid w:val="09F47D86"/>
    <w:rsid w:val="09F97AF7"/>
    <w:rsid w:val="0A07621E"/>
    <w:rsid w:val="0A165F4E"/>
    <w:rsid w:val="0A187F4E"/>
    <w:rsid w:val="0A197D3C"/>
    <w:rsid w:val="0A1E102C"/>
    <w:rsid w:val="0A3B6CF4"/>
    <w:rsid w:val="0A3D6BC3"/>
    <w:rsid w:val="0A506361"/>
    <w:rsid w:val="0A725B94"/>
    <w:rsid w:val="0A9926DB"/>
    <w:rsid w:val="0ADD76CF"/>
    <w:rsid w:val="0B073AE9"/>
    <w:rsid w:val="0B177CB0"/>
    <w:rsid w:val="0B22583A"/>
    <w:rsid w:val="0B260B6B"/>
    <w:rsid w:val="0B272B9E"/>
    <w:rsid w:val="0B3011FA"/>
    <w:rsid w:val="0B396126"/>
    <w:rsid w:val="0B5C5BE2"/>
    <w:rsid w:val="0B924A77"/>
    <w:rsid w:val="0BA852CC"/>
    <w:rsid w:val="0C403756"/>
    <w:rsid w:val="0C970214"/>
    <w:rsid w:val="0CBD2B44"/>
    <w:rsid w:val="0CF94474"/>
    <w:rsid w:val="0CFE4DCE"/>
    <w:rsid w:val="0D121772"/>
    <w:rsid w:val="0D534328"/>
    <w:rsid w:val="0D633812"/>
    <w:rsid w:val="0D721AC5"/>
    <w:rsid w:val="0D844B1B"/>
    <w:rsid w:val="0D847672"/>
    <w:rsid w:val="0D91745D"/>
    <w:rsid w:val="0DC24A35"/>
    <w:rsid w:val="0DC828B0"/>
    <w:rsid w:val="0DCE6B46"/>
    <w:rsid w:val="0DE6646B"/>
    <w:rsid w:val="0E45158D"/>
    <w:rsid w:val="0E6246C5"/>
    <w:rsid w:val="0E77357E"/>
    <w:rsid w:val="0EB67CA5"/>
    <w:rsid w:val="0ECE5049"/>
    <w:rsid w:val="0F113188"/>
    <w:rsid w:val="0F192B9A"/>
    <w:rsid w:val="0F4F532C"/>
    <w:rsid w:val="0F8676D2"/>
    <w:rsid w:val="0F9C075F"/>
    <w:rsid w:val="0FA1275E"/>
    <w:rsid w:val="0FAE4E7B"/>
    <w:rsid w:val="0FCE1079"/>
    <w:rsid w:val="101E5713"/>
    <w:rsid w:val="104C445A"/>
    <w:rsid w:val="106C3A42"/>
    <w:rsid w:val="106E1DC1"/>
    <w:rsid w:val="10771710"/>
    <w:rsid w:val="1099170E"/>
    <w:rsid w:val="10A11410"/>
    <w:rsid w:val="10C04E65"/>
    <w:rsid w:val="10F4436E"/>
    <w:rsid w:val="111016D7"/>
    <w:rsid w:val="113B38EA"/>
    <w:rsid w:val="11401B02"/>
    <w:rsid w:val="115455AE"/>
    <w:rsid w:val="117F0D56"/>
    <w:rsid w:val="11C444E1"/>
    <w:rsid w:val="11EB3D47"/>
    <w:rsid w:val="11FD5C45"/>
    <w:rsid w:val="120F33EB"/>
    <w:rsid w:val="12110198"/>
    <w:rsid w:val="12A8795F"/>
    <w:rsid w:val="12B66520"/>
    <w:rsid w:val="12CD1AAE"/>
    <w:rsid w:val="12DD4D01"/>
    <w:rsid w:val="1305390A"/>
    <w:rsid w:val="130C5A9C"/>
    <w:rsid w:val="13266E1F"/>
    <w:rsid w:val="132E6708"/>
    <w:rsid w:val="135950FD"/>
    <w:rsid w:val="13C407C9"/>
    <w:rsid w:val="147279B4"/>
    <w:rsid w:val="147C7763"/>
    <w:rsid w:val="14CF3EFA"/>
    <w:rsid w:val="14D63C9B"/>
    <w:rsid w:val="14E27315"/>
    <w:rsid w:val="14EF358A"/>
    <w:rsid w:val="15761F97"/>
    <w:rsid w:val="1581302C"/>
    <w:rsid w:val="158B1288"/>
    <w:rsid w:val="16157A01"/>
    <w:rsid w:val="163065E9"/>
    <w:rsid w:val="163E7CF8"/>
    <w:rsid w:val="16436AB7"/>
    <w:rsid w:val="1650051A"/>
    <w:rsid w:val="168129A1"/>
    <w:rsid w:val="16C44F84"/>
    <w:rsid w:val="17013AE2"/>
    <w:rsid w:val="171F1375"/>
    <w:rsid w:val="17316B01"/>
    <w:rsid w:val="17536547"/>
    <w:rsid w:val="17682B66"/>
    <w:rsid w:val="176D4508"/>
    <w:rsid w:val="178B2212"/>
    <w:rsid w:val="17A27CC3"/>
    <w:rsid w:val="17D91402"/>
    <w:rsid w:val="17EB6C6C"/>
    <w:rsid w:val="181B314D"/>
    <w:rsid w:val="182D4416"/>
    <w:rsid w:val="1875139A"/>
    <w:rsid w:val="189A2440"/>
    <w:rsid w:val="18AE2913"/>
    <w:rsid w:val="18F25DD8"/>
    <w:rsid w:val="18F95C37"/>
    <w:rsid w:val="18FC0A05"/>
    <w:rsid w:val="19305F20"/>
    <w:rsid w:val="19582C7D"/>
    <w:rsid w:val="19600F94"/>
    <w:rsid w:val="196A3BC0"/>
    <w:rsid w:val="196E3837"/>
    <w:rsid w:val="196E525E"/>
    <w:rsid w:val="19766A09"/>
    <w:rsid w:val="197E58BE"/>
    <w:rsid w:val="19C239FC"/>
    <w:rsid w:val="19C8297C"/>
    <w:rsid w:val="19C84D8B"/>
    <w:rsid w:val="19CE05F3"/>
    <w:rsid w:val="1A3E7564"/>
    <w:rsid w:val="1A404921"/>
    <w:rsid w:val="1A4408B5"/>
    <w:rsid w:val="1A4B1C44"/>
    <w:rsid w:val="1A9F6386"/>
    <w:rsid w:val="1ACF569C"/>
    <w:rsid w:val="1AE259D8"/>
    <w:rsid w:val="1AE52E0D"/>
    <w:rsid w:val="1B475782"/>
    <w:rsid w:val="1B522ECD"/>
    <w:rsid w:val="1B6F2199"/>
    <w:rsid w:val="1B9413C8"/>
    <w:rsid w:val="1BA44752"/>
    <w:rsid w:val="1BDE6EDA"/>
    <w:rsid w:val="1BE614F8"/>
    <w:rsid w:val="1BFF727C"/>
    <w:rsid w:val="1C142509"/>
    <w:rsid w:val="1C546E3B"/>
    <w:rsid w:val="1C7003B0"/>
    <w:rsid w:val="1CAB0AA8"/>
    <w:rsid w:val="1CAD0994"/>
    <w:rsid w:val="1CB02E2E"/>
    <w:rsid w:val="1CB11B06"/>
    <w:rsid w:val="1CB17D1A"/>
    <w:rsid w:val="1CCB0E1A"/>
    <w:rsid w:val="1CCF1B3A"/>
    <w:rsid w:val="1CEF215E"/>
    <w:rsid w:val="1CEF7044"/>
    <w:rsid w:val="1CFF2872"/>
    <w:rsid w:val="1D3A4CB1"/>
    <w:rsid w:val="1D486175"/>
    <w:rsid w:val="1D626B83"/>
    <w:rsid w:val="1D922F6F"/>
    <w:rsid w:val="1DA5166B"/>
    <w:rsid w:val="1DA775E4"/>
    <w:rsid w:val="1DBC0776"/>
    <w:rsid w:val="1DD160A6"/>
    <w:rsid w:val="1DD737EE"/>
    <w:rsid w:val="1DF02056"/>
    <w:rsid w:val="1E066587"/>
    <w:rsid w:val="1E42335E"/>
    <w:rsid w:val="1E543091"/>
    <w:rsid w:val="1E811446"/>
    <w:rsid w:val="1E98667F"/>
    <w:rsid w:val="1E9C41EC"/>
    <w:rsid w:val="1EBC2F21"/>
    <w:rsid w:val="1EE83207"/>
    <w:rsid w:val="1F4B4AFF"/>
    <w:rsid w:val="1F7E2ADC"/>
    <w:rsid w:val="1FAF5CC8"/>
    <w:rsid w:val="20250841"/>
    <w:rsid w:val="20481F95"/>
    <w:rsid w:val="20594A8F"/>
    <w:rsid w:val="205D67FC"/>
    <w:rsid w:val="20791D1A"/>
    <w:rsid w:val="209D0D1F"/>
    <w:rsid w:val="20EE50D7"/>
    <w:rsid w:val="212E5787"/>
    <w:rsid w:val="214D187B"/>
    <w:rsid w:val="21701F90"/>
    <w:rsid w:val="219365FF"/>
    <w:rsid w:val="219A60D1"/>
    <w:rsid w:val="219F0DB6"/>
    <w:rsid w:val="221943D6"/>
    <w:rsid w:val="22C2681B"/>
    <w:rsid w:val="22D622C7"/>
    <w:rsid w:val="22E06CA1"/>
    <w:rsid w:val="22F15F1F"/>
    <w:rsid w:val="22F857A2"/>
    <w:rsid w:val="23173909"/>
    <w:rsid w:val="23637B2D"/>
    <w:rsid w:val="23715996"/>
    <w:rsid w:val="23A67EEB"/>
    <w:rsid w:val="23C81F12"/>
    <w:rsid w:val="23E25B7B"/>
    <w:rsid w:val="24236AB3"/>
    <w:rsid w:val="242564F4"/>
    <w:rsid w:val="245A625E"/>
    <w:rsid w:val="248329B1"/>
    <w:rsid w:val="25060EDB"/>
    <w:rsid w:val="25457290"/>
    <w:rsid w:val="2560472E"/>
    <w:rsid w:val="25D725DE"/>
    <w:rsid w:val="25E26D21"/>
    <w:rsid w:val="264F55CD"/>
    <w:rsid w:val="26DC6A34"/>
    <w:rsid w:val="26ED5E31"/>
    <w:rsid w:val="27070CA1"/>
    <w:rsid w:val="271C5F0F"/>
    <w:rsid w:val="27224D52"/>
    <w:rsid w:val="277E3AA3"/>
    <w:rsid w:val="27CC53C8"/>
    <w:rsid w:val="27D01156"/>
    <w:rsid w:val="27D779CE"/>
    <w:rsid w:val="27F67C5E"/>
    <w:rsid w:val="28126A09"/>
    <w:rsid w:val="282B4E63"/>
    <w:rsid w:val="28377363"/>
    <w:rsid w:val="28481571"/>
    <w:rsid w:val="2853654C"/>
    <w:rsid w:val="28793E20"/>
    <w:rsid w:val="28852567"/>
    <w:rsid w:val="28890D09"/>
    <w:rsid w:val="28D0421C"/>
    <w:rsid w:val="28E84B02"/>
    <w:rsid w:val="28FF4345"/>
    <w:rsid w:val="290B576E"/>
    <w:rsid w:val="2946596D"/>
    <w:rsid w:val="29707F5B"/>
    <w:rsid w:val="297A2235"/>
    <w:rsid w:val="2982615C"/>
    <w:rsid w:val="29946D01"/>
    <w:rsid w:val="299D5579"/>
    <w:rsid w:val="29A51985"/>
    <w:rsid w:val="29B82726"/>
    <w:rsid w:val="29BD29A1"/>
    <w:rsid w:val="29F31F26"/>
    <w:rsid w:val="29F4553F"/>
    <w:rsid w:val="29F55728"/>
    <w:rsid w:val="2A114CAC"/>
    <w:rsid w:val="2A7D27C2"/>
    <w:rsid w:val="2A8603F6"/>
    <w:rsid w:val="2A881262"/>
    <w:rsid w:val="2A930E1D"/>
    <w:rsid w:val="2AB176C6"/>
    <w:rsid w:val="2AED403A"/>
    <w:rsid w:val="2AF3311B"/>
    <w:rsid w:val="2B01172E"/>
    <w:rsid w:val="2B0D7B41"/>
    <w:rsid w:val="2B2E4091"/>
    <w:rsid w:val="2B493073"/>
    <w:rsid w:val="2B713EF8"/>
    <w:rsid w:val="2B84143C"/>
    <w:rsid w:val="2B8E1990"/>
    <w:rsid w:val="2BDA2E28"/>
    <w:rsid w:val="2BE30FD2"/>
    <w:rsid w:val="2C0406D0"/>
    <w:rsid w:val="2C2063A3"/>
    <w:rsid w:val="2C233AF2"/>
    <w:rsid w:val="2C3F712F"/>
    <w:rsid w:val="2C4B4A59"/>
    <w:rsid w:val="2C5C383D"/>
    <w:rsid w:val="2C7E672A"/>
    <w:rsid w:val="2C8E03B3"/>
    <w:rsid w:val="2CCE145A"/>
    <w:rsid w:val="2CDC3A35"/>
    <w:rsid w:val="2CDC497D"/>
    <w:rsid w:val="2CF577ED"/>
    <w:rsid w:val="2D2500D2"/>
    <w:rsid w:val="2D3311C3"/>
    <w:rsid w:val="2D382A9E"/>
    <w:rsid w:val="2D3B345A"/>
    <w:rsid w:val="2D482013"/>
    <w:rsid w:val="2D502C75"/>
    <w:rsid w:val="2D715569"/>
    <w:rsid w:val="2DA105FB"/>
    <w:rsid w:val="2DBB1259"/>
    <w:rsid w:val="2DF751F3"/>
    <w:rsid w:val="2E17430E"/>
    <w:rsid w:val="2E383E35"/>
    <w:rsid w:val="2E9A0A73"/>
    <w:rsid w:val="2EC636D3"/>
    <w:rsid w:val="2ECA3CF6"/>
    <w:rsid w:val="2ED75A9F"/>
    <w:rsid w:val="2F5842D0"/>
    <w:rsid w:val="2F650C5A"/>
    <w:rsid w:val="2F7F046E"/>
    <w:rsid w:val="2F950E14"/>
    <w:rsid w:val="2F952674"/>
    <w:rsid w:val="2FA07258"/>
    <w:rsid w:val="2FAA3FAC"/>
    <w:rsid w:val="2FBC4F11"/>
    <w:rsid w:val="2FF02762"/>
    <w:rsid w:val="3027789C"/>
    <w:rsid w:val="30447ABA"/>
    <w:rsid w:val="307F7AFA"/>
    <w:rsid w:val="30900EE1"/>
    <w:rsid w:val="30B74A51"/>
    <w:rsid w:val="31056E02"/>
    <w:rsid w:val="31184A7B"/>
    <w:rsid w:val="31235193"/>
    <w:rsid w:val="316B736B"/>
    <w:rsid w:val="31C9380E"/>
    <w:rsid w:val="31D7017A"/>
    <w:rsid w:val="32264009"/>
    <w:rsid w:val="32655415"/>
    <w:rsid w:val="32676A97"/>
    <w:rsid w:val="32764F2C"/>
    <w:rsid w:val="328E2387"/>
    <w:rsid w:val="32900EEE"/>
    <w:rsid w:val="32B06690"/>
    <w:rsid w:val="32C415FF"/>
    <w:rsid w:val="32C97752"/>
    <w:rsid w:val="32DB22C9"/>
    <w:rsid w:val="337416BD"/>
    <w:rsid w:val="338546C9"/>
    <w:rsid w:val="33D45A35"/>
    <w:rsid w:val="33FC63CB"/>
    <w:rsid w:val="34232234"/>
    <w:rsid w:val="34CA7EFE"/>
    <w:rsid w:val="34F767F8"/>
    <w:rsid w:val="3557309B"/>
    <w:rsid w:val="35851543"/>
    <w:rsid w:val="358769DF"/>
    <w:rsid w:val="35BD418B"/>
    <w:rsid w:val="35ED1591"/>
    <w:rsid w:val="35F8221C"/>
    <w:rsid w:val="36C50C57"/>
    <w:rsid w:val="372F4074"/>
    <w:rsid w:val="37354E59"/>
    <w:rsid w:val="3739694B"/>
    <w:rsid w:val="375743B3"/>
    <w:rsid w:val="37643FB0"/>
    <w:rsid w:val="37F033F6"/>
    <w:rsid w:val="38080D1C"/>
    <w:rsid w:val="3808193A"/>
    <w:rsid w:val="38183D07"/>
    <w:rsid w:val="381D7397"/>
    <w:rsid w:val="381F44D4"/>
    <w:rsid w:val="38A62E9B"/>
    <w:rsid w:val="38BE4A4E"/>
    <w:rsid w:val="38C34BC2"/>
    <w:rsid w:val="38C70AF2"/>
    <w:rsid w:val="38E7426F"/>
    <w:rsid w:val="39131727"/>
    <w:rsid w:val="393C7FB8"/>
    <w:rsid w:val="39551D3F"/>
    <w:rsid w:val="396633B7"/>
    <w:rsid w:val="39943C48"/>
    <w:rsid w:val="39C617AB"/>
    <w:rsid w:val="39C75184"/>
    <w:rsid w:val="39C94720"/>
    <w:rsid w:val="39D85218"/>
    <w:rsid w:val="3A074E84"/>
    <w:rsid w:val="3A2420A7"/>
    <w:rsid w:val="3A2F2590"/>
    <w:rsid w:val="3A365C91"/>
    <w:rsid w:val="3A37521D"/>
    <w:rsid w:val="3A654204"/>
    <w:rsid w:val="3AB56861"/>
    <w:rsid w:val="3ABB2C13"/>
    <w:rsid w:val="3AD849D6"/>
    <w:rsid w:val="3ADE1E00"/>
    <w:rsid w:val="3B0D340B"/>
    <w:rsid w:val="3B107887"/>
    <w:rsid w:val="3B2F1F35"/>
    <w:rsid w:val="3B3230A5"/>
    <w:rsid w:val="3B3F2CA7"/>
    <w:rsid w:val="3B5322AF"/>
    <w:rsid w:val="3B5E746C"/>
    <w:rsid w:val="3B8706E3"/>
    <w:rsid w:val="3B9512C4"/>
    <w:rsid w:val="3BA7694F"/>
    <w:rsid w:val="3BB32D4D"/>
    <w:rsid w:val="3BC35686"/>
    <w:rsid w:val="3BC44F5A"/>
    <w:rsid w:val="3BCB62E9"/>
    <w:rsid w:val="3C3742B1"/>
    <w:rsid w:val="3C6436E5"/>
    <w:rsid w:val="3C720E5A"/>
    <w:rsid w:val="3C740CD4"/>
    <w:rsid w:val="3C8B5A78"/>
    <w:rsid w:val="3CA7694E"/>
    <w:rsid w:val="3CBA76A3"/>
    <w:rsid w:val="3CCA65A0"/>
    <w:rsid w:val="3D0C4E0B"/>
    <w:rsid w:val="3D17730C"/>
    <w:rsid w:val="3D2818DE"/>
    <w:rsid w:val="3DB01C3A"/>
    <w:rsid w:val="3DDF6293"/>
    <w:rsid w:val="3DF53AF1"/>
    <w:rsid w:val="3DFC0F76"/>
    <w:rsid w:val="3E0D7D19"/>
    <w:rsid w:val="3E2B711B"/>
    <w:rsid w:val="3E377C66"/>
    <w:rsid w:val="3EBF3542"/>
    <w:rsid w:val="3ED742C6"/>
    <w:rsid w:val="3EE14B8D"/>
    <w:rsid w:val="3EEB5B0D"/>
    <w:rsid w:val="3F2F1E2C"/>
    <w:rsid w:val="3F372DD9"/>
    <w:rsid w:val="3F422D66"/>
    <w:rsid w:val="3F47212A"/>
    <w:rsid w:val="3F4940F4"/>
    <w:rsid w:val="3F591E5E"/>
    <w:rsid w:val="3F66374E"/>
    <w:rsid w:val="3F841B37"/>
    <w:rsid w:val="3F9E4E03"/>
    <w:rsid w:val="3FA90786"/>
    <w:rsid w:val="40063D93"/>
    <w:rsid w:val="40741F5E"/>
    <w:rsid w:val="40762C86"/>
    <w:rsid w:val="40A105ED"/>
    <w:rsid w:val="40EA6D09"/>
    <w:rsid w:val="40EA76C3"/>
    <w:rsid w:val="410A6E1B"/>
    <w:rsid w:val="417819DC"/>
    <w:rsid w:val="41952FDC"/>
    <w:rsid w:val="41CF462B"/>
    <w:rsid w:val="41F1637D"/>
    <w:rsid w:val="420C434B"/>
    <w:rsid w:val="428B4A24"/>
    <w:rsid w:val="42A47894"/>
    <w:rsid w:val="42CB4108"/>
    <w:rsid w:val="42E06BC9"/>
    <w:rsid w:val="42F51FEF"/>
    <w:rsid w:val="430E5437"/>
    <w:rsid w:val="432A16DC"/>
    <w:rsid w:val="433A17D1"/>
    <w:rsid w:val="435F43FF"/>
    <w:rsid w:val="43642362"/>
    <w:rsid w:val="436474B6"/>
    <w:rsid w:val="43707776"/>
    <w:rsid w:val="43805C0B"/>
    <w:rsid w:val="43D917BF"/>
    <w:rsid w:val="443417CC"/>
    <w:rsid w:val="4436451B"/>
    <w:rsid w:val="443E7C1A"/>
    <w:rsid w:val="44595947"/>
    <w:rsid w:val="449851D6"/>
    <w:rsid w:val="44A14866"/>
    <w:rsid w:val="44BC10E3"/>
    <w:rsid w:val="44BD18FB"/>
    <w:rsid w:val="44D85EE4"/>
    <w:rsid w:val="44FE5AC3"/>
    <w:rsid w:val="450D1720"/>
    <w:rsid w:val="454865D7"/>
    <w:rsid w:val="455E01CE"/>
    <w:rsid w:val="45684BA8"/>
    <w:rsid w:val="458B6AE9"/>
    <w:rsid w:val="45941E41"/>
    <w:rsid w:val="45B60A66"/>
    <w:rsid w:val="45F13218"/>
    <w:rsid w:val="46645B07"/>
    <w:rsid w:val="4680147E"/>
    <w:rsid w:val="471054F8"/>
    <w:rsid w:val="47215957"/>
    <w:rsid w:val="47715F30"/>
    <w:rsid w:val="47933998"/>
    <w:rsid w:val="47BE4F54"/>
    <w:rsid w:val="47CE2384"/>
    <w:rsid w:val="4804398B"/>
    <w:rsid w:val="481B05F8"/>
    <w:rsid w:val="48393FBD"/>
    <w:rsid w:val="485F0FC3"/>
    <w:rsid w:val="48927D30"/>
    <w:rsid w:val="48D80297"/>
    <w:rsid w:val="48EC0055"/>
    <w:rsid w:val="49635308"/>
    <w:rsid w:val="497A3C70"/>
    <w:rsid w:val="497E00A8"/>
    <w:rsid w:val="49867716"/>
    <w:rsid w:val="498966DE"/>
    <w:rsid w:val="49AB6CC1"/>
    <w:rsid w:val="49E62540"/>
    <w:rsid w:val="49F36575"/>
    <w:rsid w:val="4A085EE2"/>
    <w:rsid w:val="4A0C76CE"/>
    <w:rsid w:val="4A6C7830"/>
    <w:rsid w:val="4A746203"/>
    <w:rsid w:val="4A80035D"/>
    <w:rsid w:val="4A8B6B71"/>
    <w:rsid w:val="4AAF5028"/>
    <w:rsid w:val="4AB12B4E"/>
    <w:rsid w:val="4B1B1A3F"/>
    <w:rsid w:val="4B5736F5"/>
    <w:rsid w:val="4B57777D"/>
    <w:rsid w:val="4B5F2D00"/>
    <w:rsid w:val="4B736055"/>
    <w:rsid w:val="4B850F28"/>
    <w:rsid w:val="4B934B20"/>
    <w:rsid w:val="4B977F95"/>
    <w:rsid w:val="4B98254E"/>
    <w:rsid w:val="4BD32D3D"/>
    <w:rsid w:val="4C1D1A3A"/>
    <w:rsid w:val="4C2A0B13"/>
    <w:rsid w:val="4C4A3EC5"/>
    <w:rsid w:val="4CC53261"/>
    <w:rsid w:val="4D022964"/>
    <w:rsid w:val="4D043409"/>
    <w:rsid w:val="4D265A75"/>
    <w:rsid w:val="4D7419E2"/>
    <w:rsid w:val="4D7A7B6F"/>
    <w:rsid w:val="4D7B064A"/>
    <w:rsid w:val="4DA370C6"/>
    <w:rsid w:val="4DCA5A51"/>
    <w:rsid w:val="4DFE7B37"/>
    <w:rsid w:val="4DFF3813"/>
    <w:rsid w:val="4E0A0EF3"/>
    <w:rsid w:val="4E4D7193"/>
    <w:rsid w:val="4EB1136E"/>
    <w:rsid w:val="4EC44A71"/>
    <w:rsid w:val="4EFB08F8"/>
    <w:rsid w:val="4F064EBC"/>
    <w:rsid w:val="4F2036CB"/>
    <w:rsid w:val="4F4977F9"/>
    <w:rsid w:val="4F5D345D"/>
    <w:rsid w:val="4F7F321A"/>
    <w:rsid w:val="4F834D4C"/>
    <w:rsid w:val="4FB21842"/>
    <w:rsid w:val="4FF4152A"/>
    <w:rsid w:val="4FFE6835"/>
    <w:rsid w:val="50892EF0"/>
    <w:rsid w:val="50940F47"/>
    <w:rsid w:val="509727E6"/>
    <w:rsid w:val="50AD2007"/>
    <w:rsid w:val="510673AB"/>
    <w:rsid w:val="51071719"/>
    <w:rsid w:val="5116195C"/>
    <w:rsid w:val="513E44BC"/>
    <w:rsid w:val="51650B38"/>
    <w:rsid w:val="5166645B"/>
    <w:rsid w:val="51862935"/>
    <w:rsid w:val="519145AA"/>
    <w:rsid w:val="51957E7F"/>
    <w:rsid w:val="519A07DF"/>
    <w:rsid w:val="51A61A84"/>
    <w:rsid w:val="51D27F79"/>
    <w:rsid w:val="51EA21B2"/>
    <w:rsid w:val="51EF7E0D"/>
    <w:rsid w:val="51FD08FC"/>
    <w:rsid w:val="5261453C"/>
    <w:rsid w:val="52962796"/>
    <w:rsid w:val="52A458BD"/>
    <w:rsid w:val="52EC37BC"/>
    <w:rsid w:val="537432CF"/>
    <w:rsid w:val="53B92FA8"/>
    <w:rsid w:val="53C44297"/>
    <w:rsid w:val="53FE3A19"/>
    <w:rsid w:val="54533186"/>
    <w:rsid w:val="54D753E7"/>
    <w:rsid w:val="55432F3C"/>
    <w:rsid w:val="555313D1"/>
    <w:rsid w:val="555962BC"/>
    <w:rsid w:val="55A50153"/>
    <w:rsid w:val="55D90A26"/>
    <w:rsid w:val="5663553D"/>
    <w:rsid w:val="566B3436"/>
    <w:rsid w:val="567D5FDA"/>
    <w:rsid w:val="56A47A0A"/>
    <w:rsid w:val="56AE6FE8"/>
    <w:rsid w:val="56AE724E"/>
    <w:rsid w:val="56D35134"/>
    <w:rsid w:val="56DC7FCD"/>
    <w:rsid w:val="56F2658E"/>
    <w:rsid w:val="56FB50C2"/>
    <w:rsid w:val="573568B4"/>
    <w:rsid w:val="575E4973"/>
    <w:rsid w:val="57793128"/>
    <w:rsid w:val="5798543B"/>
    <w:rsid w:val="579F706F"/>
    <w:rsid w:val="57A73C1D"/>
    <w:rsid w:val="57AF355E"/>
    <w:rsid w:val="57CA63B1"/>
    <w:rsid w:val="57CD5D50"/>
    <w:rsid w:val="57FB0CE5"/>
    <w:rsid w:val="57FD3876"/>
    <w:rsid w:val="5828121B"/>
    <w:rsid w:val="58425B04"/>
    <w:rsid w:val="58AB6E2E"/>
    <w:rsid w:val="58AE2E62"/>
    <w:rsid w:val="58BC728D"/>
    <w:rsid w:val="58CB74D0"/>
    <w:rsid w:val="58EB1309"/>
    <w:rsid w:val="58F5279F"/>
    <w:rsid w:val="590170EC"/>
    <w:rsid w:val="59017922"/>
    <w:rsid w:val="59017C3F"/>
    <w:rsid w:val="590F7B51"/>
    <w:rsid w:val="59267861"/>
    <w:rsid w:val="595C5487"/>
    <w:rsid w:val="59822285"/>
    <w:rsid w:val="59AD4E28"/>
    <w:rsid w:val="59C67E07"/>
    <w:rsid w:val="59CF119B"/>
    <w:rsid w:val="59D461C5"/>
    <w:rsid w:val="59EB1740"/>
    <w:rsid w:val="59EB2201"/>
    <w:rsid w:val="59EC76FE"/>
    <w:rsid w:val="5A113762"/>
    <w:rsid w:val="5A251F53"/>
    <w:rsid w:val="5A3410A5"/>
    <w:rsid w:val="5A3570F8"/>
    <w:rsid w:val="5A513A05"/>
    <w:rsid w:val="5A5D05FC"/>
    <w:rsid w:val="5A7A11AE"/>
    <w:rsid w:val="5AA76D1B"/>
    <w:rsid w:val="5AB1727C"/>
    <w:rsid w:val="5ABB05D6"/>
    <w:rsid w:val="5AC71F19"/>
    <w:rsid w:val="5AC727C5"/>
    <w:rsid w:val="5ACC3921"/>
    <w:rsid w:val="5AD74CE2"/>
    <w:rsid w:val="5B065D59"/>
    <w:rsid w:val="5B297F70"/>
    <w:rsid w:val="5B5163B3"/>
    <w:rsid w:val="5B6B0AF7"/>
    <w:rsid w:val="5B7B4E1D"/>
    <w:rsid w:val="5B955B74"/>
    <w:rsid w:val="5BAD11D6"/>
    <w:rsid w:val="5C307558"/>
    <w:rsid w:val="5C782486"/>
    <w:rsid w:val="5C7E3F4C"/>
    <w:rsid w:val="5C8213D0"/>
    <w:rsid w:val="5C904CB9"/>
    <w:rsid w:val="5C9E0344"/>
    <w:rsid w:val="5CAB1AF3"/>
    <w:rsid w:val="5CC3453B"/>
    <w:rsid w:val="5CFE392D"/>
    <w:rsid w:val="5D0B5C2E"/>
    <w:rsid w:val="5D4234DC"/>
    <w:rsid w:val="5D471BF7"/>
    <w:rsid w:val="5D4B58B4"/>
    <w:rsid w:val="5D67666D"/>
    <w:rsid w:val="5D6C1695"/>
    <w:rsid w:val="5D873F59"/>
    <w:rsid w:val="5DA12BFF"/>
    <w:rsid w:val="5DCA16D5"/>
    <w:rsid w:val="5E36363E"/>
    <w:rsid w:val="5E5814CF"/>
    <w:rsid w:val="5E9D5958"/>
    <w:rsid w:val="5EB6477F"/>
    <w:rsid w:val="5EBE1AC9"/>
    <w:rsid w:val="5F0B0627"/>
    <w:rsid w:val="5F6302BB"/>
    <w:rsid w:val="5FAF18FA"/>
    <w:rsid w:val="5FD52AF2"/>
    <w:rsid w:val="5FF45C16"/>
    <w:rsid w:val="608C4D16"/>
    <w:rsid w:val="60986A98"/>
    <w:rsid w:val="60D14DD7"/>
    <w:rsid w:val="6115578D"/>
    <w:rsid w:val="611B6B1B"/>
    <w:rsid w:val="613025C6"/>
    <w:rsid w:val="61481242"/>
    <w:rsid w:val="614D667A"/>
    <w:rsid w:val="61517CC7"/>
    <w:rsid w:val="615C265D"/>
    <w:rsid w:val="617D5476"/>
    <w:rsid w:val="618741B1"/>
    <w:rsid w:val="618D272B"/>
    <w:rsid w:val="61BC3E5A"/>
    <w:rsid w:val="61F5736C"/>
    <w:rsid w:val="620C71CE"/>
    <w:rsid w:val="624B51DE"/>
    <w:rsid w:val="626E1304"/>
    <w:rsid w:val="627E3805"/>
    <w:rsid w:val="627E7ABC"/>
    <w:rsid w:val="628751A4"/>
    <w:rsid w:val="629E17B2"/>
    <w:rsid w:val="62B334AF"/>
    <w:rsid w:val="62D3550A"/>
    <w:rsid w:val="62E01DCA"/>
    <w:rsid w:val="62E17AE3"/>
    <w:rsid w:val="62F05811"/>
    <w:rsid w:val="6361365A"/>
    <w:rsid w:val="63A86FD0"/>
    <w:rsid w:val="63F16941"/>
    <w:rsid w:val="63FA3D19"/>
    <w:rsid w:val="64055F8C"/>
    <w:rsid w:val="6417181C"/>
    <w:rsid w:val="64214D60"/>
    <w:rsid w:val="64244DAC"/>
    <w:rsid w:val="64412D3D"/>
    <w:rsid w:val="644F5B9D"/>
    <w:rsid w:val="646031C3"/>
    <w:rsid w:val="64656A2B"/>
    <w:rsid w:val="64732ABF"/>
    <w:rsid w:val="64A757CC"/>
    <w:rsid w:val="64BE76B9"/>
    <w:rsid w:val="65031DA0"/>
    <w:rsid w:val="650F3F1B"/>
    <w:rsid w:val="652E506F"/>
    <w:rsid w:val="65A71C6C"/>
    <w:rsid w:val="65B202E1"/>
    <w:rsid w:val="660849B9"/>
    <w:rsid w:val="660A5954"/>
    <w:rsid w:val="664A69DF"/>
    <w:rsid w:val="666176C6"/>
    <w:rsid w:val="668533B4"/>
    <w:rsid w:val="668A2779"/>
    <w:rsid w:val="66BD7D11"/>
    <w:rsid w:val="66E63727"/>
    <w:rsid w:val="670F7122"/>
    <w:rsid w:val="674F751F"/>
    <w:rsid w:val="675B2367"/>
    <w:rsid w:val="679631B0"/>
    <w:rsid w:val="67A42F0C"/>
    <w:rsid w:val="67A527A0"/>
    <w:rsid w:val="67FF21E9"/>
    <w:rsid w:val="68195626"/>
    <w:rsid w:val="68431D49"/>
    <w:rsid w:val="68555008"/>
    <w:rsid w:val="690A2AAE"/>
    <w:rsid w:val="69127B84"/>
    <w:rsid w:val="69225065"/>
    <w:rsid w:val="69280027"/>
    <w:rsid w:val="692C2BD0"/>
    <w:rsid w:val="69496F6A"/>
    <w:rsid w:val="697D5CD4"/>
    <w:rsid w:val="698B2F6B"/>
    <w:rsid w:val="699666A4"/>
    <w:rsid w:val="699D1CCF"/>
    <w:rsid w:val="69B52DDF"/>
    <w:rsid w:val="69C314C6"/>
    <w:rsid w:val="69FF347E"/>
    <w:rsid w:val="6A176572"/>
    <w:rsid w:val="6A1D7F52"/>
    <w:rsid w:val="6A3D3FA6"/>
    <w:rsid w:val="6A560BF3"/>
    <w:rsid w:val="6AC456D9"/>
    <w:rsid w:val="6AD227F3"/>
    <w:rsid w:val="6B265D12"/>
    <w:rsid w:val="6B2A4215"/>
    <w:rsid w:val="6B2D57C4"/>
    <w:rsid w:val="6B5B46E4"/>
    <w:rsid w:val="6B785296"/>
    <w:rsid w:val="6B9A38D6"/>
    <w:rsid w:val="6BA63446"/>
    <w:rsid w:val="6BAD286C"/>
    <w:rsid w:val="6BD10E4A"/>
    <w:rsid w:val="6C832997"/>
    <w:rsid w:val="6C845B25"/>
    <w:rsid w:val="6CA1081C"/>
    <w:rsid w:val="6CB20C5B"/>
    <w:rsid w:val="6CC06BEA"/>
    <w:rsid w:val="6CD03CF0"/>
    <w:rsid w:val="6CDF066E"/>
    <w:rsid w:val="6CF342CF"/>
    <w:rsid w:val="6CF46B9E"/>
    <w:rsid w:val="6CF90658"/>
    <w:rsid w:val="6D277150"/>
    <w:rsid w:val="6D941941"/>
    <w:rsid w:val="6DAA3701"/>
    <w:rsid w:val="6DB33490"/>
    <w:rsid w:val="6E105C5A"/>
    <w:rsid w:val="6E2872F9"/>
    <w:rsid w:val="6E69755C"/>
    <w:rsid w:val="6E737F96"/>
    <w:rsid w:val="6E7F6C67"/>
    <w:rsid w:val="6E9B0588"/>
    <w:rsid w:val="6EB349E5"/>
    <w:rsid w:val="6ECF5682"/>
    <w:rsid w:val="6ED338DF"/>
    <w:rsid w:val="6EE039DB"/>
    <w:rsid w:val="6F0137F4"/>
    <w:rsid w:val="6F03756C"/>
    <w:rsid w:val="6F141779"/>
    <w:rsid w:val="6F311DDC"/>
    <w:rsid w:val="6F8B2FC1"/>
    <w:rsid w:val="6F977CB5"/>
    <w:rsid w:val="6FA348AB"/>
    <w:rsid w:val="6FB3366E"/>
    <w:rsid w:val="6FB50F8F"/>
    <w:rsid w:val="6FBB10C2"/>
    <w:rsid w:val="7025142D"/>
    <w:rsid w:val="70281177"/>
    <w:rsid w:val="70302B20"/>
    <w:rsid w:val="703721F2"/>
    <w:rsid w:val="703F6422"/>
    <w:rsid w:val="70412077"/>
    <w:rsid w:val="70480FAF"/>
    <w:rsid w:val="70790109"/>
    <w:rsid w:val="71241573"/>
    <w:rsid w:val="71632544"/>
    <w:rsid w:val="71733DF5"/>
    <w:rsid w:val="71967FB5"/>
    <w:rsid w:val="71D9385C"/>
    <w:rsid w:val="71DF0583"/>
    <w:rsid w:val="721C29AD"/>
    <w:rsid w:val="72214C71"/>
    <w:rsid w:val="722640C6"/>
    <w:rsid w:val="72273572"/>
    <w:rsid w:val="722E4B93"/>
    <w:rsid w:val="72495B34"/>
    <w:rsid w:val="7249798C"/>
    <w:rsid w:val="72B13C0C"/>
    <w:rsid w:val="72B312A9"/>
    <w:rsid w:val="72DA6836"/>
    <w:rsid w:val="73204DD4"/>
    <w:rsid w:val="73503BBA"/>
    <w:rsid w:val="73532145"/>
    <w:rsid w:val="7399049F"/>
    <w:rsid w:val="73A017A5"/>
    <w:rsid w:val="73B9644B"/>
    <w:rsid w:val="73D16BF2"/>
    <w:rsid w:val="742821AE"/>
    <w:rsid w:val="745D771F"/>
    <w:rsid w:val="74681C20"/>
    <w:rsid w:val="747D56CB"/>
    <w:rsid w:val="747E1DC4"/>
    <w:rsid w:val="74A54C22"/>
    <w:rsid w:val="74AA5A49"/>
    <w:rsid w:val="74C3041D"/>
    <w:rsid w:val="74E05C5A"/>
    <w:rsid w:val="74EC04EE"/>
    <w:rsid w:val="75014904"/>
    <w:rsid w:val="75271C1F"/>
    <w:rsid w:val="753D428C"/>
    <w:rsid w:val="753F28E2"/>
    <w:rsid w:val="753F5515"/>
    <w:rsid w:val="75834F63"/>
    <w:rsid w:val="758E3908"/>
    <w:rsid w:val="75C16B30"/>
    <w:rsid w:val="75C64910"/>
    <w:rsid w:val="75D148A0"/>
    <w:rsid w:val="75F27075"/>
    <w:rsid w:val="75F81663"/>
    <w:rsid w:val="76041503"/>
    <w:rsid w:val="761E2DD4"/>
    <w:rsid w:val="76492476"/>
    <w:rsid w:val="76701885"/>
    <w:rsid w:val="76885DD2"/>
    <w:rsid w:val="769747B0"/>
    <w:rsid w:val="76C946CC"/>
    <w:rsid w:val="76D5623D"/>
    <w:rsid w:val="76D637B8"/>
    <w:rsid w:val="776D3E14"/>
    <w:rsid w:val="777A05E8"/>
    <w:rsid w:val="777E6030"/>
    <w:rsid w:val="779A47E6"/>
    <w:rsid w:val="779B7915"/>
    <w:rsid w:val="77A12A4D"/>
    <w:rsid w:val="77B36363"/>
    <w:rsid w:val="77B91110"/>
    <w:rsid w:val="77DA1086"/>
    <w:rsid w:val="77F821FA"/>
    <w:rsid w:val="78016314"/>
    <w:rsid w:val="78643617"/>
    <w:rsid w:val="786A6969"/>
    <w:rsid w:val="787076C4"/>
    <w:rsid w:val="788F13EF"/>
    <w:rsid w:val="78944CAE"/>
    <w:rsid w:val="78B9633E"/>
    <w:rsid w:val="78F246B6"/>
    <w:rsid w:val="79204546"/>
    <w:rsid w:val="79A85561"/>
    <w:rsid w:val="79B4352A"/>
    <w:rsid w:val="79DA098D"/>
    <w:rsid w:val="79DF5765"/>
    <w:rsid w:val="79F53BFF"/>
    <w:rsid w:val="7A2D1941"/>
    <w:rsid w:val="7AAA0AE2"/>
    <w:rsid w:val="7AC21F13"/>
    <w:rsid w:val="7AEF258C"/>
    <w:rsid w:val="7AFD4FEE"/>
    <w:rsid w:val="7B0809A0"/>
    <w:rsid w:val="7B2E771F"/>
    <w:rsid w:val="7B3F4E0B"/>
    <w:rsid w:val="7B4B3C3E"/>
    <w:rsid w:val="7B5F1FCE"/>
    <w:rsid w:val="7B867960"/>
    <w:rsid w:val="7BAB0D70"/>
    <w:rsid w:val="7C0E57A2"/>
    <w:rsid w:val="7C1A4147"/>
    <w:rsid w:val="7C3C64D6"/>
    <w:rsid w:val="7C714CEC"/>
    <w:rsid w:val="7C8721EC"/>
    <w:rsid w:val="7C920181"/>
    <w:rsid w:val="7CAB4D9F"/>
    <w:rsid w:val="7CC3033B"/>
    <w:rsid w:val="7D2232B3"/>
    <w:rsid w:val="7D311748"/>
    <w:rsid w:val="7D4042BE"/>
    <w:rsid w:val="7D702296"/>
    <w:rsid w:val="7D863135"/>
    <w:rsid w:val="7D9817C8"/>
    <w:rsid w:val="7D9A5540"/>
    <w:rsid w:val="7DAE0451"/>
    <w:rsid w:val="7DB829F2"/>
    <w:rsid w:val="7DD6409E"/>
    <w:rsid w:val="7DDF58D5"/>
    <w:rsid w:val="7DF53C5B"/>
    <w:rsid w:val="7DFA4E9D"/>
    <w:rsid w:val="7E26714B"/>
    <w:rsid w:val="7E2968C4"/>
    <w:rsid w:val="7E435FB0"/>
    <w:rsid w:val="7E69363D"/>
    <w:rsid w:val="7E933D3D"/>
    <w:rsid w:val="7EA44823"/>
    <w:rsid w:val="7EB268B9"/>
    <w:rsid w:val="7EC211A6"/>
    <w:rsid w:val="7ECB421F"/>
    <w:rsid w:val="7ED44A81"/>
    <w:rsid w:val="7EEF18BB"/>
    <w:rsid w:val="7F4B2C12"/>
    <w:rsid w:val="7F4F5EB6"/>
    <w:rsid w:val="7F624A68"/>
    <w:rsid w:val="7F9A1827"/>
    <w:rsid w:val="7F9D30C5"/>
    <w:rsid w:val="7FC95C68"/>
    <w:rsid w:val="7FE758EA"/>
    <w:rsid w:val="7FF3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0"/>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59"/>
    <w:qFormat/>
    <w:uiPriority w:val="0"/>
    <w:pPr>
      <w:keepNext/>
      <w:keepLines/>
      <w:spacing w:before="120" w:after="120" w:line="360" w:lineRule="exact"/>
      <w:jc w:val="center"/>
      <w:outlineLvl w:val="1"/>
    </w:pPr>
    <w:rPr>
      <w:rFonts w:ascii="宋体" w:hAnsi="宋体"/>
      <w:b/>
      <w:sz w:val="24"/>
      <w:szCs w:val="24"/>
    </w:rPr>
  </w:style>
  <w:style w:type="paragraph" w:styleId="9">
    <w:name w:val="heading 3"/>
    <w:basedOn w:val="1"/>
    <w:next w:val="5"/>
    <w:link w:val="203"/>
    <w:qFormat/>
    <w:uiPriority w:val="0"/>
    <w:pPr>
      <w:keepNext/>
      <w:keepLines/>
      <w:shd w:val="clear" w:color="auto" w:fill="FFFFFF"/>
      <w:tabs>
        <w:tab w:val="left" w:pos="2730"/>
      </w:tabs>
      <w:wordWrap w:val="0"/>
      <w:spacing w:line="360" w:lineRule="exact"/>
      <w:jc w:val="center"/>
      <w:outlineLvl w:val="2"/>
    </w:pPr>
    <w:rPr>
      <w:rFonts w:ascii="宋体" w:hAnsi="宋体"/>
      <w:b/>
      <w:sz w:val="28"/>
      <w:shd w:val="clear" w:color="auto" w:fill="FFFFFF"/>
    </w:rPr>
  </w:style>
  <w:style w:type="paragraph" w:styleId="10">
    <w:name w:val="heading 4"/>
    <w:basedOn w:val="1"/>
    <w:next w:val="5"/>
    <w:link w:val="88"/>
    <w:qFormat/>
    <w:uiPriority w:val="0"/>
    <w:pPr>
      <w:keepNext/>
      <w:keepLines/>
      <w:spacing w:before="120" w:after="120"/>
      <w:outlineLvl w:val="3"/>
    </w:pPr>
    <w:rPr>
      <w:rFonts w:ascii="Arial" w:hAnsi="Arial" w:eastAsia="黑体"/>
      <w:b/>
      <w:sz w:val="20"/>
    </w:rPr>
  </w:style>
  <w:style w:type="paragraph" w:styleId="11">
    <w:name w:val="heading 5"/>
    <w:basedOn w:val="1"/>
    <w:next w:val="5"/>
    <w:link w:val="78"/>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22"/>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37"/>
    <w:qFormat/>
    <w:uiPriority w:val="0"/>
    <w:pPr>
      <w:keepNext/>
      <w:keepLines/>
      <w:spacing w:before="240" w:after="64" w:line="319" w:lineRule="auto"/>
      <w:outlineLvl w:val="6"/>
    </w:pPr>
    <w:rPr>
      <w:b/>
      <w:bCs/>
      <w:sz w:val="24"/>
      <w:szCs w:val="24"/>
    </w:rPr>
  </w:style>
  <w:style w:type="paragraph" w:styleId="14">
    <w:name w:val="heading 8"/>
    <w:basedOn w:val="1"/>
    <w:next w:val="1"/>
    <w:link w:val="151"/>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57"/>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next w:val="6"/>
    <w:qFormat/>
    <w:uiPriority w:val="0"/>
    <w:pPr>
      <w:ind w:firstLine="420"/>
    </w:pPr>
  </w:style>
  <w:style w:type="paragraph" w:styleId="6">
    <w:name w:val="Body Text First Indent 2"/>
    <w:basedOn w:val="7"/>
    <w:next w:val="5"/>
    <w:qFormat/>
    <w:uiPriority w:val="0"/>
    <w:pPr>
      <w:ind w:firstLine="420" w:firstLineChars="200"/>
    </w:pPr>
  </w:style>
  <w:style w:type="paragraph" w:styleId="7">
    <w:name w:val="Body Text Indent"/>
    <w:basedOn w:val="1"/>
    <w:next w:val="8"/>
    <w:link w:val="169"/>
    <w:qFormat/>
    <w:uiPriority w:val="0"/>
    <w:pPr>
      <w:ind w:firstLine="645"/>
    </w:pPr>
    <w:rPr>
      <w:sz w:val="20"/>
    </w:rPr>
  </w:style>
  <w:style w:type="paragraph" w:styleId="8">
    <w:name w:val="envelope return"/>
    <w:basedOn w:val="1"/>
    <w:unhideWhenUsed/>
    <w:qFormat/>
    <w:uiPriority w:val="99"/>
    <w:pPr>
      <w:snapToGrid w:val="0"/>
    </w:pPr>
    <w:rPr>
      <w:rFonts w:ascii="Arial" w:hAnsi="Arial"/>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index 8"/>
    <w:basedOn w:val="1"/>
    <w:next w:val="1"/>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index 5"/>
    <w:basedOn w:val="1"/>
    <w:next w:val="1"/>
    <w:qFormat/>
    <w:uiPriority w:val="0"/>
    <w:pPr>
      <w:ind w:left="1680"/>
    </w:pPr>
  </w:style>
  <w:style w:type="paragraph" w:styleId="22">
    <w:name w:val="Document Map"/>
    <w:basedOn w:val="1"/>
    <w:link w:val="196"/>
    <w:qFormat/>
    <w:uiPriority w:val="0"/>
    <w:pPr>
      <w:shd w:val="clear" w:color="auto" w:fill="000080"/>
    </w:pPr>
    <w:rPr>
      <w:rFonts w:ascii="宋体"/>
      <w:sz w:val="18"/>
      <w:szCs w:val="18"/>
    </w:rPr>
  </w:style>
  <w:style w:type="paragraph" w:styleId="23">
    <w:name w:val="annotation text"/>
    <w:basedOn w:val="1"/>
    <w:link w:val="128"/>
    <w:qFormat/>
    <w:uiPriority w:val="99"/>
    <w:pPr>
      <w:jc w:val="left"/>
    </w:pPr>
    <w:rPr>
      <w:sz w:val="20"/>
    </w:rPr>
  </w:style>
  <w:style w:type="paragraph" w:styleId="24">
    <w:name w:val="index 6"/>
    <w:basedOn w:val="1"/>
    <w:next w:val="1"/>
    <w:qFormat/>
    <w:uiPriority w:val="0"/>
    <w:pPr>
      <w:ind w:left="2100"/>
    </w:pPr>
  </w:style>
  <w:style w:type="paragraph" w:styleId="25">
    <w:name w:val="Salutation"/>
    <w:basedOn w:val="1"/>
    <w:next w:val="1"/>
    <w:link w:val="192"/>
    <w:qFormat/>
    <w:uiPriority w:val="0"/>
    <w:rPr>
      <w:rFonts w:ascii="仿宋_GB2312" w:eastAsia="仿宋_GB2312"/>
      <w:sz w:val="20"/>
    </w:rPr>
  </w:style>
  <w:style w:type="paragraph" w:styleId="26">
    <w:name w:val="Body Text 3"/>
    <w:basedOn w:val="1"/>
    <w:link w:val="89"/>
    <w:qFormat/>
    <w:uiPriority w:val="0"/>
    <w:rPr>
      <w:rFonts w:ascii="仿宋_GB2312" w:hAnsi="Arial" w:eastAsia="仿宋_GB2312"/>
      <w:sz w:val="20"/>
    </w:rPr>
  </w:style>
  <w:style w:type="paragraph" w:styleId="27">
    <w:name w:val="Body Text"/>
    <w:basedOn w:val="1"/>
    <w:link w:val="76"/>
    <w:qFormat/>
    <w:uiPriority w:val="0"/>
    <w:rPr>
      <w:rFonts w:ascii="楷体_GB2312" w:hAnsi="Arial" w:eastAsia="楷体_GB2312"/>
      <w:sz w:val="20"/>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spacing w:before="120" w:after="120" w:line="360" w:lineRule="exact"/>
      <w:ind w:left="420"/>
      <w:jc w:val="left"/>
    </w:pPr>
    <w:rPr>
      <w:sz w:val="23"/>
    </w:rPr>
  </w:style>
  <w:style w:type="paragraph" w:styleId="31">
    <w:name w:val="Plain Text"/>
    <w:basedOn w:val="1"/>
    <w:link w:val="121"/>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0"/>
    <w:qFormat/>
    <w:uiPriority w:val="0"/>
    <w:pPr>
      <w:ind w:left="100" w:leftChars="2500"/>
    </w:pPr>
    <w:rPr>
      <w:sz w:val="20"/>
    </w:rPr>
  </w:style>
  <w:style w:type="paragraph" w:styleId="35">
    <w:name w:val="Body Text Indent 2"/>
    <w:basedOn w:val="1"/>
    <w:link w:val="163"/>
    <w:qFormat/>
    <w:uiPriority w:val="0"/>
    <w:pPr>
      <w:ind w:left="630" w:firstLine="645"/>
    </w:pPr>
    <w:rPr>
      <w:sz w:val="20"/>
    </w:rPr>
  </w:style>
  <w:style w:type="paragraph" w:styleId="36">
    <w:name w:val="endnote text"/>
    <w:basedOn w:val="1"/>
    <w:link w:val="206"/>
    <w:qFormat/>
    <w:uiPriority w:val="0"/>
    <w:pPr>
      <w:snapToGrid w:val="0"/>
      <w:jc w:val="left"/>
    </w:pPr>
    <w:rPr>
      <w:kern w:val="0"/>
      <w:sz w:val="24"/>
      <w:szCs w:val="24"/>
    </w:rPr>
  </w:style>
  <w:style w:type="paragraph" w:styleId="37">
    <w:name w:val="Balloon Text"/>
    <w:basedOn w:val="1"/>
    <w:link w:val="205"/>
    <w:qFormat/>
    <w:uiPriority w:val="0"/>
    <w:rPr>
      <w:sz w:val="18"/>
      <w:szCs w:val="18"/>
    </w:rPr>
  </w:style>
  <w:style w:type="paragraph" w:styleId="38">
    <w:name w:val="footer"/>
    <w:basedOn w:val="1"/>
    <w:link w:val="198"/>
    <w:qFormat/>
    <w:uiPriority w:val="0"/>
    <w:pPr>
      <w:tabs>
        <w:tab w:val="center" w:pos="4153"/>
        <w:tab w:val="right" w:pos="8306"/>
      </w:tabs>
      <w:snapToGrid w:val="0"/>
      <w:jc w:val="left"/>
    </w:pPr>
    <w:rPr>
      <w:sz w:val="18"/>
      <w:szCs w:val="18"/>
    </w:rPr>
  </w:style>
  <w:style w:type="paragraph" w:styleId="39">
    <w:name w:val="header"/>
    <w:basedOn w:val="1"/>
    <w:link w:val="134"/>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1"/>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240" w:after="240"/>
      <w:jc w:val="left"/>
    </w:pPr>
    <w:rPr>
      <w:caps/>
      <w:sz w:val="24"/>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0"/>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3"/>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3"/>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3"/>
    <w:qFormat/>
    <w:uiPriority w:val="0"/>
    <w:pPr>
      <w:widowControl/>
      <w:jc w:val="center"/>
    </w:pPr>
    <w:rPr>
      <w:rFonts w:ascii="楷体_GB2312" w:eastAsia="楷体_GB2312"/>
      <w:sz w:val="20"/>
    </w:rPr>
  </w:style>
  <w:style w:type="paragraph" w:styleId="55">
    <w:name w:val="HTML Preformatted"/>
    <w:basedOn w:val="1"/>
    <w:link w:val="1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0"/>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3"/>
    <w:next w:val="23"/>
    <w:link w:val="144"/>
    <w:qFormat/>
    <w:uiPriority w:val="0"/>
    <w:rPr>
      <w:b/>
      <w:bCs/>
    </w:rPr>
  </w:style>
  <w:style w:type="paragraph" w:styleId="60">
    <w:name w:val="Body Text First Indent"/>
    <w:basedOn w:val="27"/>
    <w:link w:val="105"/>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character" w:customStyle="1" w:styleId="75">
    <w:name w:val="页脚 Char1"/>
    <w:basedOn w:val="63"/>
    <w:qFormat/>
    <w:uiPriority w:val="0"/>
    <w:rPr>
      <w:rFonts w:cs="Times New Roman"/>
      <w:kern w:val="2"/>
      <w:sz w:val="18"/>
      <w:szCs w:val="18"/>
    </w:rPr>
  </w:style>
  <w:style w:type="character" w:customStyle="1" w:styleId="76">
    <w:name w:val="正文文本 Char"/>
    <w:basedOn w:val="63"/>
    <w:link w:val="27"/>
    <w:qFormat/>
    <w:uiPriority w:val="0"/>
    <w:rPr>
      <w:rFonts w:ascii="楷体_GB2312" w:hAnsi="Arial" w:eastAsia="楷体_GB2312" w:cs="Times New Roman"/>
      <w:sz w:val="20"/>
      <w:szCs w:val="20"/>
    </w:rPr>
  </w:style>
  <w:style w:type="character" w:customStyle="1" w:styleId="77">
    <w:name w:val="Body Text Indent 2 Char"/>
    <w:qFormat/>
    <w:uiPriority w:val="0"/>
    <w:rPr>
      <w:rFonts w:ascii="Arial" w:hAnsi="Arial" w:eastAsia="仿宋_GB2312"/>
      <w:sz w:val="32"/>
    </w:rPr>
  </w:style>
  <w:style w:type="character" w:customStyle="1" w:styleId="78">
    <w:name w:val="标题 5 Char"/>
    <w:basedOn w:val="63"/>
    <w:link w:val="11"/>
    <w:qFormat/>
    <w:uiPriority w:val="0"/>
    <w:rPr>
      <w:rFonts w:ascii="黑体" w:hAnsi="Times New Roman" w:eastAsia="黑体" w:cs="Times New Roman"/>
      <w:b/>
      <w:color w:val="000000"/>
      <w:kern w:val="0"/>
      <w:sz w:val="20"/>
      <w:szCs w:val="20"/>
    </w:rPr>
  </w:style>
  <w:style w:type="character" w:customStyle="1" w:styleId="79">
    <w:name w:val="Body Text Indent 3 Char1"/>
    <w:basedOn w:val="63"/>
    <w:qFormat/>
    <w:uiPriority w:val="0"/>
    <w:rPr>
      <w:rFonts w:ascii="Times New Roman" w:hAnsi="Times New Roman"/>
      <w:kern w:val="2"/>
      <w:sz w:val="16"/>
      <w:szCs w:val="16"/>
    </w:rPr>
  </w:style>
  <w:style w:type="character" w:customStyle="1" w:styleId="80">
    <w:name w:val="副标题 Char"/>
    <w:basedOn w:val="63"/>
    <w:link w:val="45"/>
    <w:qFormat/>
    <w:uiPriority w:val="0"/>
    <w:rPr>
      <w:rFonts w:ascii="Cambria" w:hAnsi="Cambria" w:eastAsia="宋体" w:cs="Times New Roman"/>
      <w:i/>
      <w:iCs/>
      <w:spacing w:val="13"/>
      <w:kern w:val="0"/>
      <w:sz w:val="24"/>
      <w:szCs w:val="24"/>
      <w:lang w:eastAsia="en-US"/>
    </w:rPr>
  </w:style>
  <w:style w:type="character" w:customStyle="1" w:styleId="81">
    <w:name w:val="listbenefit"/>
    <w:qFormat/>
    <w:uiPriority w:val="0"/>
  </w:style>
  <w:style w:type="character" w:customStyle="1" w:styleId="82">
    <w:name w:val="Char Char27"/>
    <w:qFormat/>
    <w:uiPriority w:val="0"/>
    <w:rPr>
      <w:b/>
      <w:kern w:val="44"/>
      <w:sz w:val="44"/>
    </w:rPr>
  </w:style>
  <w:style w:type="character" w:customStyle="1" w:styleId="83">
    <w:name w:val="param-value"/>
    <w:basedOn w:val="63"/>
    <w:qFormat/>
    <w:uiPriority w:val="0"/>
    <w:rPr>
      <w:rFonts w:cs="Times New Roman"/>
    </w:rPr>
  </w:style>
  <w:style w:type="character" w:customStyle="1" w:styleId="84">
    <w:name w:val="纯文本 Char Char Char1"/>
    <w:qFormat/>
    <w:uiPriority w:val="0"/>
    <w:rPr>
      <w:rFonts w:ascii="宋体" w:hAnsi="Courier New" w:eastAsia="宋体"/>
      <w:kern w:val="2"/>
      <w:sz w:val="21"/>
      <w:lang w:val="en-US" w:eastAsia="zh-CN"/>
    </w:rPr>
  </w:style>
  <w:style w:type="character" w:customStyle="1" w:styleId="85">
    <w:name w:val="apple-converted-space"/>
    <w:basedOn w:val="63"/>
    <w:qFormat/>
    <w:uiPriority w:val="0"/>
    <w:rPr>
      <w:rFonts w:cs="Times New Roman"/>
    </w:rPr>
  </w:style>
  <w:style w:type="character" w:customStyle="1" w:styleId="86">
    <w:name w:val="Char Char29"/>
    <w:qFormat/>
    <w:uiPriority w:val="0"/>
    <w:rPr>
      <w:rFonts w:ascii="Times New Roman" w:hAnsi="Times New Roman" w:eastAsia="宋体"/>
      <w:b/>
      <w:kern w:val="44"/>
      <w:sz w:val="44"/>
    </w:rPr>
  </w:style>
  <w:style w:type="character" w:customStyle="1" w:styleId="87">
    <w:name w:val="标题 3 Char"/>
    <w:basedOn w:val="63"/>
    <w:qFormat/>
    <w:uiPriority w:val="0"/>
    <w:rPr>
      <w:rFonts w:ascii="Times New Roman" w:hAnsi="Times New Roman" w:eastAsia="宋体" w:cs="Times New Roman"/>
      <w:b/>
      <w:bCs/>
      <w:sz w:val="32"/>
      <w:szCs w:val="32"/>
    </w:rPr>
  </w:style>
  <w:style w:type="character" w:customStyle="1" w:styleId="88">
    <w:name w:val="标题 4 Char"/>
    <w:basedOn w:val="63"/>
    <w:link w:val="10"/>
    <w:qFormat/>
    <w:uiPriority w:val="0"/>
    <w:rPr>
      <w:rFonts w:ascii="Arial" w:hAnsi="Arial" w:eastAsia="黑体" w:cs="Times New Roman"/>
      <w:b/>
      <w:sz w:val="20"/>
      <w:szCs w:val="20"/>
    </w:rPr>
  </w:style>
  <w:style w:type="character" w:customStyle="1" w:styleId="89">
    <w:name w:val="正文文本 3 Char"/>
    <w:basedOn w:val="63"/>
    <w:link w:val="26"/>
    <w:qFormat/>
    <w:uiPriority w:val="0"/>
    <w:rPr>
      <w:rFonts w:ascii="仿宋_GB2312" w:hAnsi="Arial" w:eastAsia="仿宋_GB2312" w:cs="Times New Roman"/>
      <w:sz w:val="20"/>
      <w:szCs w:val="20"/>
    </w:rPr>
  </w:style>
  <w:style w:type="character" w:customStyle="1" w:styleId="90">
    <w:name w:val="正文文本缩进 Char"/>
    <w:basedOn w:val="63"/>
    <w:qFormat/>
    <w:uiPriority w:val="0"/>
    <w:rPr>
      <w:rFonts w:ascii="Times New Roman" w:hAnsi="Times New Roman" w:eastAsia="宋体" w:cs="Times New Roman"/>
      <w:sz w:val="20"/>
      <w:szCs w:val="20"/>
    </w:rPr>
  </w:style>
  <w:style w:type="character" w:customStyle="1" w:styleId="91">
    <w:name w:val="Plain Text Char"/>
    <w:qFormat/>
    <w:uiPriority w:val="0"/>
    <w:rPr>
      <w:rFonts w:ascii="宋体" w:hAnsi="Courier New"/>
    </w:rPr>
  </w:style>
  <w:style w:type="character" w:customStyle="1" w:styleId="92">
    <w:name w:val="HTML 预设格式 Char"/>
    <w:basedOn w:val="63"/>
    <w:qFormat/>
    <w:uiPriority w:val="0"/>
    <w:rPr>
      <w:rFonts w:ascii="Courier New" w:hAnsi="Courier New" w:eastAsia="宋体" w:cs="Courier New"/>
      <w:sz w:val="20"/>
      <w:szCs w:val="20"/>
    </w:rPr>
  </w:style>
  <w:style w:type="character" w:customStyle="1" w:styleId="93">
    <w:name w:val="批注文字 Char Char"/>
    <w:qFormat/>
    <w:uiPriority w:val="0"/>
    <w:rPr>
      <w:rFonts w:eastAsia="宋体"/>
      <w:kern w:val="2"/>
      <w:sz w:val="21"/>
      <w:lang w:val="en-US" w:eastAsia="zh-CN"/>
    </w:rPr>
  </w:style>
  <w:style w:type="character" w:customStyle="1" w:styleId="94">
    <w:name w:val="Body Text Indent Char"/>
    <w:qFormat/>
    <w:uiPriority w:val="0"/>
    <w:rPr>
      <w:rFonts w:ascii="楷体_GB2312" w:eastAsia="楷体_GB2312"/>
      <w:sz w:val="32"/>
    </w:rPr>
  </w:style>
  <w:style w:type="character" w:customStyle="1" w:styleId="95">
    <w:name w:val="已访问的超链接1"/>
    <w:qFormat/>
    <w:uiPriority w:val="0"/>
    <w:rPr>
      <w:color w:val="auto"/>
      <w:u w:val="none"/>
    </w:rPr>
  </w:style>
  <w:style w:type="character" w:customStyle="1" w:styleId="96">
    <w:name w:val="纯文本 Char Char Char"/>
    <w:qFormat/>
    <w:uiPriority w:val="0"/>
    <w:rPr>
      <w:rFonts w:ascii="宋体" w:hAnsi="Courier New" w:eastAsia="宋体"/>
      <w:kern w:val="2"/>
      <w:sz w:val="21"/>
      <w:lang w:val="en-US" w:eastAsia="zh-CN"/>
    </w:rPr>
  </w:style>
  <w:style w:type="character" w:customStyle="1" w:styleId="97">
    <w:name w:val="普通文字1 Char"/>
    <w:qFormat/>
    <w:uiPriority w:val="0"/>
    <w:rPr>
      <w:rFonts w:ascii="宋体" w:eastAsia="宋体"/>
      <w:kern w:val="2"/>
      <w:sz w:val="21"/>
      <w:lang w:val="en-US" w:eastAsia="zh-CN"/>
    </w:rPr>
  </w:style>
  <w:style w:type="character" w:customStyle="1" w:styleId="98">
    <w:name w:val="Comment Subject Char"/>
    <w:qFormat/>
    <w:uiPriority w:val="0"/>
    <w:rPr>
      <w:b/>
    </w:rPr>
  </w:style>
  <w:style w:type="character" w:customStyle="1" w:styleId="99">
    <w:name w:val="Char Char28"/>
    <w:qFormat/>
    <w:uiPriority w:val="0"/>
    <w:rPr>
      <w:rFonts w:ascii="Arial" w:hAnsi="Arial" w:eastAsia="黑体"/>
      <w:b/>
      <w:sz w:val="32"/>
    </w:rPr>
  </w:style>
  <w:style w:type="character" w:customStyle="1" w:styleId="100">
    <w:name w:val="Char Char23"/>
    <w:qFormat/>
    <w:uiPriority w:val="0"/>
    <w:rPr>
      <w:rFonts w:ascii="Arial" w:hAnsi="Arial" w:eastAsia="黑体"/>
      <w:b/>
      <w:kern w:val="2"/>
      <w:sz w:val="24"/>
    </w:rPr>
  </w:style>
  <w:style w:type="character" w:customStyle="1" w:styleId="101">
    <w:name w:val="Char Char21"/>
    <w:qFormat/>
    <w:uiPriority w:val="0"/>
    <w:rPr>
      <w:rFonts w:ascii="Arial" w:hAnsi="Arial" w:eastAsia="黑体"/>
      <w:kern w:val="2"/>
      <w:sz w:val="24"/>
    </w:rPr>
  </w:style>
  <w:style w:type="character" w:customStyle="1" w:styleId="102">
    <w:name w:val="Char Char2"/>
    <w:qFormat/>
    <w:uiPriority w:val="0"/>
    <w:rPr>
      <w:rFonts w:ascii="宋体" w:hAnsi="Courier New" w:eastAsia="宋体"/>
      <w:kern w:val="2"/>
      <w:sz w:val="21"/>
      <w:lang w:val="en-US" w:eastAsia="zh-CN"/>
    </w:rPr>
  </w:style>
  <w:style w:type="character" w:customStyle="1" w:styleId="103">
    <w:name w:val="t1"/>
    <w:qFormat/>
    <w:uiPriority w:val="0"/>
  </w:style>
  <w:style w:type="character" w:customStyle="1" w:styleId="104">
    <w:name w:val="华宇段落1 Char Char Char"/>
    <w:qFormat/>
    <w:uiPriority w:val="0"/>
    <w:rPr>
      <w:rFonts w:eastAsia="宋体"/>
      <w:kern w:val="2"/>
      <w:sz w:val="24"/>
      <w:lang w:val="en-US" w:eastAsia="zh-CN"/>
    </w:rPr>
  </w:style>
  <w:style w:type="character" w:customStyle="1" w:styleId="105">
    <w:name w:val="正文首行缩进 Char"/>
    <w:basedOn w:val="76"/>
    <w:link w:val="60"/>
    <w:qFormat/>
    <w:uiPriority w:val="0"/>
    <w:rPr>
      <w:rFonts w:ascii="Times New Roman" w:hAnsi="Times New Roman" w:eastAsia="宋体" w:cs="Times New Roman"/>
      <w:sz w:val="24"/>
      <w:szCs w:val="24"/>
    </w:rPr>
  </w:style>
  <w:style w:type="character" w:customStyle="1" w:styleId="106">
    <w:name w:val="纯文本 Char1"/>
    <w:qFormat/>
    <w:uiPriority w:val="0"/>
    <w:rPr>
      <w:rFonts w:ascii="宋体" w:hAnsi="Courier New"/>
      <w:kern w:val="2"/>
      <w:sz w:val="21"/>
    </w:rPr>
  </w:style>
  <w:style w:type="character" w:customStyle="1" w:styleId="107">
    <w:name w:val="textcontents"/>
    <w:basedOn w:val="63"/>
    <w:qFormat/>
    <w:uiPriority w:val="0"/>
    <w:rPr>
      <w:rFonts w:cs="Times New Roman"/>
    </w:rPr>
  </w:style>
  <w:style w:type="character" w:customStyle="1" w:styleId="108">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09">
    <w:name w:val="纯文本 Char"/>
    <w:basedOn w:val="63"/>
    <w:qFormat/>
    <w:uiPriority w:val="0"/>
    <w:rPr>
      <w:rFonts w:ascii="宋体" w:hAnsi="Courier New" w:eastAsia="宋体" w:cs="Courier New"/>
      <w:sz w:val="21"/>
      <w:szCs w:val="21"/>
    </w:rPr>
  </w:style>
  <w:style w:type="character" w:customStyle="1" w:styleId="110">
    <w:name w:val="我的正文 Char Char"/>
    <w:link w:val="111"/>
    <w:qFormat/>
    <w:uiPriority w:val="0"/>
    <w:rPr>
      <w:rFonts w:ascii="宋体" w:eastAsia="宋体"/>
      <w:sz w:val="21"/>
    </w:rPr>
  </w:style>
  <w:style w:type="paragraph" w:customStyle="1" w:styleId="111">
    <w:name w:val="我的正文"/>
    <w:basedOn w:val="1"/>
    <w:link w:val="110"/>
    <w:qFormat/>
    <w:uiPriority w:val="0"/>
    <w:pPr>
      <w:widowControl/>
      <w:spacing w:line="360" w:lineRule="auto"/>
      <w:ind w:firstLine="420"/>
      <w:jc w:val="left"/>
    </w:pPr>
    <w:rPr>
      <w:rFonts w:ascii="宋体" w:hAnsi="Calibri"/>
      <w:kern w:val="0"/>
    </w:rPr>
  </w:style>
  <w:style w:type="character" w:customStyle="1" w:styleId="112">
    <w:name w:val="Title Char"/>
    <w:qFormat/>
    <w:uiPriority w:val="0"/>
    <w:rPr>
      <w:rFonts w:eastAsia="黑体"/>
      <w:b/>
      <w:sz w:val="28"/>
      <w:lang w:val="en-GB"/>
    </w:rPr>
  </w:style>
  <w:style w:type="character" w:customStyle="1" w:styleId="113">
    <w:name w:val="正文文本缩进 3 Char"/>
    <w:basedOn w:val="63"/>
    <w:link w:val="48"/>
    <w:qFormat/>
    <w:uiPriority w:val="0"/>
    <w:rPr>
      <w:rFonts w:ascii="Times New Roman" w:hAnsi="Times New Roman" w:eastAsia="宋体" w:cs="Times New Roman"/>
      <w:sz w:val="16"/>
      <w:szCs w:val="16"/>
    </w:rPr>
  </w:style>
  <w:style w:type="character" w:customStyle="1" w:styleId="114">
    <w:name w:val="Title1 Char"/>
    <w:qFormat/>
    <w:uiPriority w:val="0"/>
    <w:rPr>
      <w:rFonts w:eastAsia="宋体"/>
      <w:b/>
      <w:kern w:val="44"/>
      <w:sz w:val="44"/>
      <w:lang w:val="en-US" w:eastAsia="zh-CN"/>
    </w:rPr>
  </w:style>
  <w:style w:type="character" w:customStyle="1" w:styleId="115">
    <w:name w:val="content"/>
    <w:basedOn w:val="63"/>
    <w:qFormat/>
    <w:uiPriority w:val="0"/>
    <w:rPr>
      <w:rFonts w:cs="Times New Roman"/>
    </w:rPr>
  </w:style>
  <w:style w:type="character" w:customStyle="1" w:styleId="116">
    <w:name w:val="Char Char17"/>
    <w:qFormat/>
    <w:uiPriority w:val="0"/>
    <w:rPr>
      <w:rFonts w:ascii="宋体" w:hAnsi="Courier New"/>
      <w:kern w:val="2"/>
      <w:sz w:val="21"/>
    </w:rPr>
  </w:style>
  <w:style w:type="character" w:customStyle="1" w:styleId="117">
    <w:name w:val="标准小四 Char Char"/>
    <w:qFormat/>
    <w:uiPriority w:val="0"/>
    <w:rPr>
      <w:rFonts w:ascii="Arial" w:hAnsi="Arial" w:eastAsia="宋体"/>
      <w:kern w:val="2"/>
      <w:sz w:val="21"/>
      <w:lang w:val="en-US" w:eastAsia="zh-CN"/>
    </w:rPr>
  </w:style>
  <w:style w:type="character" w:customStyle="1" w:styleId="118">
    <w:name w:val="样式 宋体 小四"/>
    <w:qFormat/>
    <w:uiPriority w:val="0"/>
    <w:rPr>
      <w:rFonts w:ascii="宋体" w:eastAsia="宋体"/>
      <w:sz w:val="24"/>
    </w:rPr>
  </w:style>
  <w:style w:type="character" w:customStyle="1" w:styleId="119">
    <w:name w:val="ih151"/>
    <w:qFormat/>
    <w:uiPriority w:val="0"/>
    <w:rPr>
      <w:color w:val="666666"/>
      <w:sz w:val="18"/>
      <w:u w:val="none"/>
    </w:rPr>
  </w:style>
  <w:style w:type="character" w:customStyle="1" w:styleId="120">
    <w:name w:val="style13"/>
    <w:qFormat/>
    <w:uiPriority w:val="0"/>
    <w:rPr>
      <w:sz w:val="18"/>
    </w:rPr>
  </w:style>
  <w:style w:type="character" w:customStyle="1" w:styleId="121">
    <w:name w:val="纯文本 Char2"/>
    <w:basedOn w:val="63"/>
    <w:link w:val="31"/>
    <w:qFormat/>
    <w:uiPriority w:val="99"/>
    <w:rPr>
      <w:rFonts w:ascii="宋体" w:hAnsi="Courier New" w:cs="Courier New"/>
      <w:kern w:val="2"/>
      <w:sz w:val="21"/>
      <w:szCs w:val="21"/>
    </w:rPr>
  </w:style>
  <w:style w:type="character" w:customStyle="1" w:styleId="122">
    <w:name w:val="标题 6 Char"/>
    <w:basedOn w:val="63"/>
    <w:link w:val="12"/>
    <w:qFormat/>
    <w:uiPriority w:val="0"/>
    <w:rPr>
      <w:rFonts w:ascii="Arial" w:hAnsi="Arial" w:eastAsia="黑体" w:cs="Times New Roman"/>
      <w:b/>
      <w:bCs/>
      <w:sz w:val="24"/>
      <w:szCs w:val="24"/>
    </w:rPr>
  </w:style>
  <w:style w:type="character" w:customStyle="1" w:styleId="123">
    <w:name w:val="style131"/>
    <w:qFormat/>
    <w:uiPriority w:val="0"/>
    <w:rPr>
      <w:sz w:val="18"/>
    </w:rPr>
  </w:style>
  <w:style w:type="character" w:customStyle="1" w:styleId="124">
    <w:name w:val="Char Char25"/>
    <w:qFormat/>
    <w:uiPriority w:val="0"/>
    <w:rPr>
      <w:rFonts w:ascii="Arial" w:hAnsi="Arial" w:eastAsia="黑体"/>
      <w:b/>
      <w:kern w:val="2"/>
      <w:sz w:val="28"/>
    </w:rPr>
  </w:style>
  <w:style w:type="character" w:customStyle="1" w:styleId="125">
    <w:name w:val="不明显强调1"/>
    <w:basedOn w:val="63"/>
    <w:qFormat/>
    <w:uiPriority w:val="0"/>
    <w:rPr>
      <w:i/>
    </w:rPr>
  </w:style>
  <w:style w:type="character" w:customStyle="1" w:styleId="126">
    <w:name w:val="标准文本 Char Char"/>
    <w:qFormat/>
    <w:uiPriority w:val="0"/>
    <w:rPr>
      <w:rFonts w:eastAsia="宋体"/>
      <w:kern w:val="2"/>
      <w:sz w:val="24"/>
      <w:lang w:val="en-US" w:eastAsia="zh-CN"/>
    </w:rPr>
  </w:style>
  <w:style w:type="character" w:customStyle="1" w:styleId="127">
    <w:name w:val="Comment Subject Char1"/>
    <w:basedOn w:val="128"/>
    <w:qFormat/>
    <w:uiPriority w:val="0"/>
    <w:rPr>
      <w:rFonts w:ascii="Times New Roman" w:hAnsi="Times New Roman" w:eastAsia="宋体" w:cs="Times New Roman"/>
      <w:b/>
      <w:bCs/>
      <w:kern w:val="2"/>
      <w:sz w:val="21"/>
      <w:szCs w:val="20"/>
    </w:rPr>
  </w:style>
  <w:style w:type="character" w:customStyle="1" w:styleId="128">
    <w:name w:val="批注文字 Char"/>
    <w:basedOn w:val="63"/>
    <w:link w:val="23"/>
    <w:qFormat/>
    <w:uiPriority w:val="99"/>
    <w:rPr>
      <w:rFonts w:ascii="Times New Roman" w:hAnsi="Times New Roman" w:eastAsia="宋体" w:cs="Times New Roman"/>
      <w:sz w:val="20"/>
      <w:szCs w:val="20"/>
    </w:rPr>
  </w:style>
  <w:style w:type="character" w:customStyle="1" w:styleId="129">
    <w:name w:val="normalfont1"/>
    <w:qFormat/>
    <w:uiPriority w:val="0"/>
    <w:rPr>
      <w:rFonts w:ascii="??" w:hAnsi="??"/>
      <w:sz w:val="18"/>
      <w:u w:val="none"/>
    </w:rPr>
  </w:style>
  <w:style w:type="character" w:customStyle="1" w:styleId="130">
    <w:name w:val="小四 段落 宋体 Char Char Char Char Char Char Char Char"/>
    <w:qFormat/>
    <w:uiPriority w:val="0"/>
    <w:rPr>
      <w:rFonts w:eastAsia="宋体"/>
      <w:kern w:val="2"/>
      <w:sz w:val="24"/>
      <w:lang w:val="en-US" w:eastAsia="zh-CN"/>
    </w:rPr>
  </w:style>
  <w:style w:type="character" w:customStyle="1" w:styleId="131">
    <w:name w:val="签名 Char"/>
    <w:basedOn w:val="63"/>
    <w:link w:val="40"/>
    <w:qFormat/>
    <w:uiPriority w:val="0"/>
    <w:rPr>
      <w:rFonts w:ascii="Times New Roman" w:hAnsi="Times New Roman" w:eastAsia="仿宋_GB2312" w:cs="Times New Roman"/>
      <w:kern w:val="0"/>
      <w:sz w:val="20"/>
      <w:szCs w:val="20"/>
    </w:rPr>
  </w:style>
  <w:style w:type="character" w:customStyle="1" w:styleId="132">
    <w:name w:val="标题 Char1"/>
    <w:qFormat/>
    <w:uiPriority w:val="0"/>
    <w:rPr>
      <w:rFonts w:ascii="Cambria" w:eastAsia="宋体"/>
      <w:b/>
      <w:sz w:val="32"/>
    </w:rPr>
  </w:style>
  <w:style w:type="character" w:customStyle="1" w:styleId="133">
    <w:name w:val="脚注文本 Char"/>
    <w:basedOn w:val="63"/>
    <w:link w:val="46"/>
    <w:qFormat/>
    <w:uiPriority w:val="0"/>
    <w:rPr>
      <w:rFonts w:ascii="Times New Roman" w:hAnsi="Times New Roman" w:eastAsia="宋体" w:cs="Times New Roman"/>
      <w:sz w:val="18"/>
      <w:szCs w:val="18"/>
    </w:rPr>
  </w:style>
  <w:style w:type="character" w:customStyle="1" w:styleId="134">
    <w:name w:val="页眉 Char"/>
    <w:basedOn w:val="63"/>
    <w:link w:val="39"/>
    <w:qFormat/>
    <w:uiPriority w:val="0"/>
    <w:rPr>
      <w:rFonts w:cs="Times New Roman"/>
      <w:sz w:val="18"/>
      <w:szCs w:val="18"/>
    </w:rPr>
  </w:style>
  <w:style w:type="character" w:customStyle="1" w:styleId="135">
    <w:name w:val="Quote Char Char"/>
    <w:qFormat/>
    <w:uiPriority w:val="0"/>
    <w:rPr>
      <w:rFonts w:ascii="Calibri" w:hAnsi="Calibri"/>
      <w:i/>
      <w:sz w:val="22"/>
      <w:lang w:eastAsia="en-US"/>
    </w:rPr>
  </w:style>
  <w:style w:type="character" w:customStyle="1" w:styleId="136">
    <w:name w:val="content_lineheight1"/>
    <w:basedOn w:val="63"/>
    <w:qFormat/>
    <w:uiPriority w:val="0"/>
    <w:rPr>
      <w:rFonts w:cs="Times New Roman"/>
    </w:rPr>
  </w:style>
  <w:style w:type="character" w:customStyle="1" w:styleId="137">
    <w:name w:val="标题 7 Char"/>
    <w:basedOn w:val="63"/>
    <w:link w:val="13"/>
    <w:qFormat/>
    <w:uiPriority w:val="0"/>
    <w:rPr>
      <w:rFonts w:ascii="Times New Roman" w:hAnsi="Times New Roman" w:eastAsia="宋体" w:cs="Times New Roman"/>
      <w:b/>
      <w:bCs/>
      <w:sz w:val="24"/>
      <w:szCs w:val="24"/>
    </w:rPr>
  </w:style>
  <w:style w:type="character" w:customStyle="1" w:styleId="138">
    <w:name w:val="Title Char1"/>
    <w:basedOn w:val="63"/>
    <w:qFormat/>
    <w:uiPriority w:val="0"/>
    <w:rPr>
      <w:rFonts w:ascii="Cambria" w:hAnsi="Cambria" w:cs="Times New Roman"/>
      <w:b/>
      <w:bCs/>
      <w:kern w:val="2"/>
      <w:sz w:val="32"/>
      <w:szCs w:val="32"/>
    </w:rPr>
  </w:style>
  <w:style w:type="character" w:customStyle="1" w:styleId="139">
    <w:name w:val="正文 + 宋体 Char"/>
    <w:qFormat/>
    <w:uiPriority w:val="0"/>
    <w:rPr>
      <w:rFonts w:eastAsia="宋体"/>
      <w:kern w:val="2"/>
      <w:sz w:val="24"/>
      <w:lang w:val="en-US" w:eastAsia="zh-CN"/>
    </w:rPr>
  </w:style>
  <w:style w:type="character" w:customStyle="1" w:styleId="140">
    <w:name w:val="日期 Char"/>
    <w:basedOn w:val="63"/>
    <w:link w:val="34"/>
    <w:qFormat/>
    <w:uiPriority w:val="0"/>
    <w:rPr>
      <w:rFonts w:ascii="Times New Roman" w:hAnsi="Times New Roman" w:eastAsia="宋体" w:cs="Times New Roman"/>
      <w:sz w:val="20"/>
      <w:szCs w:val="20"/>
    </w:rPr>
  </w:style>
  <w:style w:type="character" w:customStyle="1" w:styleId="141">
    <w:name w:val="特点 Char1"/>
    <w:qFormat/>
    <w:uiPriority w:val="0"/>
    <w:rPr>
      <w:rFonts w:eastAsia="宋体"/>
      <w:kern w:val="2"/>
      <w:sz w:val="21"/>
      <w:lang w:val="en-US" w:eastAsia="zh-CN"/>
    </w:rPr>
  </w:style>
  <w:style w:type="character" w:customStyle="1" w:styleId="142">
    <w:name w:val="表格抬头 Char Char"/>
    <w:link w:val="143"/>
    <w:qFormat/>
    <w:uiPriority w:val="0"/>
    <w:rPr>
      <w:rFonts w:ascii="黑体" w:eastAsia="黑体"/>
      <w:b/>
    </w:rPr>
  </w:style>
  <w:style w:type="paragraph" w:customStyle="1" w:styleId="143">
    <w:name w:val="表格抬头"/>
    <w:basedOn w:val="1"/>
    <w:link w:val="142"/>
    <w:qFormat/>
    <w:uiPriority w:val="0"/>
    <w:pPr>
      <w:jc w:val="center"/>
    </w:pPr>
    <w:rPr>
      <w:rFonts w:ascii="黑体" w:hAnsi="Calibri" w:eastAsia="黑体"/>
      <w:b/>
      <w:kern w:val="0"/>
      <w:sz w:val="20"/>
    </w:rPr>
  </w:style>
  <w:style w:type="character" w:customStyle="1" w:styleId="144">
    <w:name w:val="批注主题 Char"/>
    <w:basedOn w:val="128"/>
    <w:link w:val="59"/>
    <w:qFormat/>
    <w:uiPriority w:val="0"/>
    <w:rPr>
      <w:rFonts w:ascii="Times New Roman" w:hAnsi="Times New Roman" w:eastAsia="宋体" w:cs="Times New Roman"/>
      <w:b/>
      <w:bCs/>
      <w:sz w:val="20"/>
      <w:szCs w:val="20"/>
    </w:rPr>
  </w:style>
  <w:style w:type="character" w:customStyle="1" w:styleId="145">
    <w:name w:val="HTML Preformatted Char"/>
    <w:qFormat/>
    <w:uiPriority w:val="0"/>
    <w:rPr>
      <w:rFonts w:ascii="黑体" w:hAnsi="Courier New" w:eastAsia="黑体"/>
    </w:rPr>
  </w:style>
  <w:style w:type="character" w:customStyle="1" w:styleId="146">
    <w:name w:val="h Char Char"/>
    <w:qFormat/>
    <w:uiPriority w:val="0"/>
    <w:rPr>
      <w:rFonts w:eastAsia="宋体"/>
      <w:kern w:val="2"/>
      <w:sz w:val="18"/>
      <w:lang w:val="en-US" w:eastAsia="zh-CN"/>
    </w:rPr>
  </w:style>
  <w:style w:type="character" w:customStyle="1" w:styleId="147">
    <w:name w:val="subtitle1"/>
    <w:qFormat/>
    <w:uiPriority w:val="0"/>
    <w:rPr>
      <w:rFonts w:ascii="Georgia" w:hAnsi="Georgia"/>
      <w:b/>
      <w:color w:val="666666"/>
      <w:sz w:val="18"/>
    </w:rPr>
  </w:style>
  <w:style w:type="character" w:customStyle="1" w:styleId="148">
    <w:name w:val="样式 非加粗"/>
    <w:qFormat/>
    <w:uiPriority w:val="0"/>
    <w:rPr>
      <w:rFonts w:eastAsia="宋体"/>
      <w:sz w:val="28"/>
    </w:rPr>
  </w:style>
  <w:style w:type="character" w:customStyle="1" w:styleId="149">
    <w:name w:val="小四 段落 宋体 Char Char Char Char Char"/>
    <w:link w:val="150"/>
    <w:qFormat/>
    <w:uiPriority w:val="0"/>
    <w:rPr>
      <w:rFonts w:eastAsia="宋体"/>
      <w:kern w:val="2"/>
      <w:sz w:val="24"/>
      <w:lang w:val="en-US" w:eastAsia="zh-CN"/>
    </w:rPr>
  </w:style>
  <w:style w:type="paragraph" w:customStyle="1" w:styleId="150">
    <w:name w:val="小四 段落 宋体"/>
    <w:basedOn w:val="20"/>
    <w:link w:val="149"/>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1">
    <w:name w:val="标题 8 Char"/>
    <w:basedOn w:val="63"/>
    <w:link w:val="14"/>
    <w:qFormat/>
    <w:uiPriority w:val="0"/>
    <w:rPr>
      <w:rFonts w:ascii="Arial" w:hAnsi="Arial" w:eastAsia="黑体" w:cs="Times New Roman"/>
      <w:sz w:val="24"/>
      <w:szCs w:val="24"/>
    </w:rPr>
  </w:style>
  <w:style w:type="character" w:customStyle="1" w:styleId="152">
    <w:name w:val="Document Map Char"/>
    <w:qFormat/>
    <w:uiPriority w:val="0"/>
    <w:rPr>
      <w:shd w:val="clear" w:color="auto" w:fill="000080"/>
    </w:rPr>
  </w:style>
  <w:style w:type="character" w:customStyle="1" w:styleId="153">
    <w:name w:val="para_small"/>
    <w:basedOn w:val="63"/>
    <w:qFormat/>
    <w:uiPriority w:val="0"/>
    <w:rPr>
      <w:rFonts w:cs="Times New Roman"/>
    </w:rPr>
  </w:style>
  <w:style w:type="character" w:customStyle="1" w:styleId="154">
    <w:name w:val="2nd level Char"/>
    <w:qFormat/>
    <w:uiPriority w:val="0"/>
    <w:rPr>
      <w:rFonts w:ascii="Arial" w:hAnsi="Arial" w:eastAsia="黑体"/>
      <w:b/>
      <w:kern w:val="2"/>
      <w:sz w:val="32"/>
      <w:lang w:val="en-US" w:eastAsia="zh-CN"/>
    </w:rPr>
  </w:style>
  <w:style w:type="character" w:customStyle="1" w:styleId="155">
    <w:name w:val="小四 段落 宋体 Char Char Char Char1"/>
    <w:qFormat/>
    <w:uiPriority w:val="0"/>
    <w:rPr>
      <w:rFonts w:eastAsia="宋体"/>
      <w:kern w:val="2"/>
      <w:sz w:val="24"/>
      <w:lang w:val="en-US" w:eastAsia="zh-CN"/>
    </w:rPr>
  </w:style>
  <w:style w:type="character" w:customStyle="1" w:styleId="156">
    <w:name w:val="Body Text Indent 2 Char1"/>
    <w:basedOn w:val="63"/>
    <w:qFormat/>
    <w:uiPriority w:val="0"/>
    <w:rPr>
      <w:rFonts w:ascii="Times New Roman" w:hAnsi="Times New Roman"/>
      <w:kern w:val="2"/>
      <w:sz w:val="21"/>
    </w:rPr>
  </w:style>
  <w:style w:type="character" w:customStyle="1" w:styleId="157">
    <w:name w:val="标题 9 Char"/>
    <w:basedOn w:val="63"/>
    <w:link w:val="15"/>
    <w:qFormat/>
    <w:uiPriority w:val="0"/>
    <w:rPr>
      <w:rFonts w:ascii="Arial" w:hAnsi="Arial" w:eastAsia="黑体" w:cs="Times New Roman"/>
      <w:sz w:val="21"/>
      <w:szCs w:val="21"/>
    </w:rPr>
  </w:style>
  <w:style w:type="character" w:customStyle="1" w:styleId="158">
    <w:name w:val="明显强调1"/>
    <w:basedOn w:val="63"/>
    <w:qFormat/>
    <w:uiPriority w:val="0"/>
    <w:rPr>
      <w:b/>
    </w:rPr>
  </w:style>
  <w:style w:type="character" w:customStyle="1" w:styleId="159">
    <w:name w:val="标题 2 Char"/>
    <w:basedOn w:val="63"/>
    <w:link w:val="4"/>
    <w:qFormat/>
    <w:uiPriority w:val="0"/>
    <w:rPr>
      <w:rFonts w:ascii="宋体" w:hAnsi="宋体" w:eastAsia="宋体" w:cs="Times New Roman"/>
      <w:b/>
      <w:sz w:val="24"/>
      <w:szCs w:val="24"/>
    </w:rPr>
  </w:style>
  <w:style w:type="character" w:customStyle="1" w:styleId="160">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1">
    <w:name w:val="Quote Char2"/>
    <w:basedOn w:val="63"/>
    <w:qFormat/>
    <w:uiPriority w:val="0"/>
    <w:rPr>
      <w:rFonts w:ascii="Times New Roman" w:hAnsi="Times New Roman" w:eastAsia="宋体" w:cs="Times New Roman"/>
      <w:i/>
      <w:iCs/>
      <w:color w:val="000000"/>
      <w:sz w:val="20"/>
      <w:szCs w:val="20"/>
    </w:rPr>
  </w:style>
  <w:style w:type="character" w:customStyle="1" w:styleId="162">
    <w:name w:val="小四 段落 宋体 Char Char Char1"/>
    <w:qFormat/>
    <w:uiPriority w:val="0"/>
    <w:rPr>
      <w:rFonts w:ascii="宋体" w:hAnsi="宋体" w:eastAsia="宋体"/>
      <w:kern w:val="2"/>
      <w:sz w:val="24"/>
      <w:lang w:val="en-US" w:eastAsia="zh-CN"/>
    </w:rPr>
  </w:style>
  <w:style w:type="character" w:customStyle="1" w:styleId="163">
    <w:name w:val="正文文本缩进 2 Char"/>
    <w:basedOn w:val="63"/>
    <w:link w:val="35"/>
    <w:qFormat/>
    <w:uiPriority w:val="0"/>
    <w:rPr>
      <w:rFonts w:ascii="Times New Roman" w:hAnsi="Times New Roman" w:eastAsia="宋体" w:cs="Times New Roman"/>
      <w:sz w:val="20"/>
      <w:szCs w:val="20"/>
    </w:rPr>
  </w:style>
  <w:style w:type="character" w:customStyle="1" w:styleId="164">
    <w:name w:val="Quote Char1"/>
    <w:basedOn w:val="63"/>
    <w:link w:val="165"/>
    <w:qFormat/>
    <w:uiPriority w:val="0"/>
    <w:rPr>
      <w:rFonts w:ascii="Times New Roman" w:hAnsi="Times New Roman"/>
      <w:i/>
      <w:iCs/>
      <w:color w:val="000000"/>
      <w:kern w:val="2"/>
      <w:sz w:val="21"/>
    </w:rPr>
  </w:style>
  <w:style w:type="paragraph" w:customStyle="1" w:styleId="165">
    <w:name w:val="引用1"/>
    <w:basedOn w:val="1"/>
    <w:next w:val="1"/>
    <w:link w:val="164"/>
    <w:qFormat/>
    <w:uiPriority w:val="0"/>
    <w:pPr>
      <w:widowControl/>
      <w:spacing w:before="200" w:line="276" w:lineRule="auto"/>
      <w:ind w:left="360" w:right="360"/>
      <w:jc w:val="left"/>
    </w:pPr>
    <w:rPr>
      <w:i/>
      <w:iCs/>
      <w:color w:val="000000"/>
      <w:sz w:val="20"/>
    </w:rPr>
  </w:style>
  <w:style w:type="character" w:customStyle="1" w:styleId="166">
    <w:name w:val="文档结构图 Char"/>
    <w:basedOn w:val="63"/>
    <w:qFormat/>
    <w:uiPriority w:val="0"/>
    <w:rPr>
      <w:rFonts w:ascii="宋体" w:hAnsi="Times New Roman" w:eastAsia="宋体" w:cs="Times New Roman"/>
      <w:sz w:val="18"/>
      <w:szCs w:val="18"/>
    </w:rPr>
  </w:style>
  <w:style w:type="character" w:customStyle="1" w:styleId="167">
    <w:name w:val="HTML 预设格式 Char1"/>
    <w:basedOn w:val="63"/>
    <w:link w:val="55"/>
    <w:qFormat/>
    <w:uiPriority w:val="0"/>
    <w:rPr>
      <w:rFonts w:ascii="Courier New" w:hAnsi="Courier New" w:cs="Courier New"/>
      <w:kern w:val="2"/>
    </w:rPr>
  </w:style>
  <w:style w:type="character" w:customStyle="1" w:styleId="168">
    <w:name w:val="标准文本 Char Char Char"/>
    <w:qFormat/>
    <w:uiPriority w:val="0"/>
    <w:rPr>
      <w:rFonts w:eastAsia="宋体"/>
      <w:kern w:val="2"/>
      <w:sz w:val="24"/>
      <w:lang w:val="en-US" w:eastAsia="zh-CN"/>
    </w:rPr>
  </w:style>
  <w:style w:type="character" w:customStyle="1" w:styleId="169">
    <w:name w:val="正文文本缩进 Char1"/>
    <w:basedOn w:val="63"/>
    <w:link w:val="7"/>
    <w:qFormat/>
    <w:uiPriority w:val="0"/>
    <w:rPr>
      <w:rFonts w:ascii="Times New Roman" w:hAnsi="Times New Roman"/>
      <w:kern w:val="2"/>
      <w:sz w:val="21"/>
    </w:rPr>
  </w:style>
  <w:style w:type="character" w:customStyle="1" w:styleId="170">
    <w:name w:val="标题 Char"/>
    <w:basedOn w:val="63"/>
    <w:link w:val="58"/>
    <w:qFormat/>
    <w:uiPriority w:val="0"/>
    <w:rPr>
      <w:rFonts w:ascii="Cambria" w:hAnsi="Cambria" w:eastAsia="宋体" w:cs="Times New Roman"/>
      <w:b/>
      <w:bCs/>
      <w:sz w:val="32"/>
      <w:szCs w:val="32"/>
    </w:rPr>
  </w:style>
  <w:style w:type="character" w:customStyle="1" w:styleId="171">
    <w:name w:val="纯文本 Char Char"/>
    <w:qFormat/>
    <w:uiPriority w:val="0"/>
    <w:rPr>
      <w:rFonts w:ascii="宋体" w:hAnsi="Courier New" w:eastAsia="宋体"/>
      <w:kern w:val="2"/>
      <w:sz w:val="21"/>
      <w:lang w:val="en-US" w:eastAsia="zh-CN"/>
    </w:rPr>
  </w:style>
  <w:style w:type="character" w:customStyle="1" w:styleId="172">
    <w:name w:val="case31"/>
    <w:qFormat/>
    <w:uiPriority w:val="0"/>
    <w:rPr>
      <w:sz w:val="21"/>
    </w:rPr>
  </w:style>
  <w:style w:type="character" w:customStyle="1" w:styleId="173">
    <w:name w:val="正文文本 2 Char"/>
    <w:basedOn w:val="63"/>
    <w:link w:val="54"/>
    <w:qFormat/>
    <w:uiPriority w:val="0"/>
    <w:rPr>
      <w:rFonts w:ascii="楷体_GB2312" w:hAnsi="Times New Roman" w:eastAsia="楷体_GB2312" w:cs="Times New Roman"/>
      <w:sz w:val="20"/>
      <w:szCs w:val="20"/>
    </w:rPr>
  </w:style>
  <w:style w:type="character" w:customStyle="1" w:styleId="174">
    <w:name w:val="标题 3 Char Char"/>
    <w:qFormat/>
    <w:uiPriority w:val="0"/>
    <w:rPr>
      <w:rFonts w:eastAsia="仿宋_GB2312"/>
      <w:b/>
      <w:kern w:val="2"/>
      <w:sz w:val="32"/>
      <w:lang w:val="en-US" w:eastAsia="zh-CN"/>
    </w:rPr>
  </w:style>
  <w:style w:type="character" w:customStyle="1" w:styleId="175">
    <w:name w:val="正文缩进 Char1"/>
    <w:link w:val="176"/>
    <w:qFormat/>
    <w:uiPriority w:val="0"/>
    <w:rPr>
      <w:rFonts w:ascii="Times New Roman" w:hAnsi="Times New Roman" w:eastAsia="宋体"/>
      <w:kern w:val="0"/>
      <w:sz w:val="20"/>
    </w:rPr>
  </w:style>
  <w:style w:type="paragraph" w:customStyle="1" w:styleId="176">
    <w:name w:val="正文缩进1"/>
    <w:basedOn w:val="1"/>
    <w:link w:val="175"/>
    <w:qFormat/>
    <w:uiPriority w:val="0"/>
    <w:pPr>
      <w:ind w:firstLine="420"/>
    </w:pPr>
    <w:rPr>
      <w:kern w:val="0"/>
      <w:sz w:val="20"/>
    </w:rPr>
  </w:style>
  <w:style w:type="character" w:customStyle="1" w:styleId="177">
    <w:name w:val="新图表正文 Char Char"/>
    <w:link w:val="178"/>
    <w:qFormat/>
    <w:uiPriority w:val="0"/>
    <w:rPr>
      <w:rFonts w:ascii="宋体" w:hAnsi="宋体"/>
      <w:kern w:val="2"/>
      <w:sz w:val="18"/>
      <w:szCs w:val="21"/>
      <w:lang w:val="en-US" w:eastAsia="zh-CN" w:bidi="ar-SA"/>
    </w:rPr>
  </w:style>
  <w:style w:type="paragraph" w:customStyle="1" w:styleId="178">
    <w:name w:val="新图表正文"/>
    <w:link w:val="177"/>
    <w:qFormat/>
    <w:uiPriority w:val="0"/>
    <w:pPr>
      <w:jc w:val="both"/>
    </w:pPr>
    <w:rPr>
      <w:rFonts w:ascii="宋体" w:hAnsi="宋体" w:eastAsia="宋体" w:cs="Times New Roman"/>
      <w:kern w:val="2"/>
      <w:sz w:val="18"/>
      <w:szCs w:val="21"/>
      <w:lang w:val="en-US" w:eastAsia="zh-CN" w:bidi="ar-SA"/>
    </w:rPr>
  </w:style>
  <w:style w:type="character" w:customStyle="1" w:styleId="179">
    <w:name w:val="样式 首行缩进:  2 字符 Char Char Char"/>
    <w:qFormat/>
    <w:uiPriority w:val="0"/>
    <w:rPr>
      <w:rFonts w:eastAsia="宋体"/>
      <w:kern w:val="2"/>
      <w:sz w:val="24"/>
      <w:lang w:val="en-US" w:eastAsia="zh-CN"/>
    </w:rPr>
  </w:style>
  <w:style w:type="character" w:customStyle="1" w:styleId="180">
    <w:name w:val="Intense Quote Char1"/>
    <w:basedOn w:val="63"/>
    <w:link w:val="181"/>
    <w:qFormat/>
    <w:uiPriority w:val="0"/>
    <w:rPr>
      <w:rFonts w:ascii="Times New Roman" w:hAnsi="Times New Roman"/>
      <w:b/>
      <w:bCs/>
      <w:i/>
      <w:iCs/>
      <w:color w:val="4F81BD"/>
      <w:kern w:val="2"/>
      <w:sz w:val="21"/>
    </w:rPr>
  </w:style>
  <w:style w:type="paragraph" w:customStyle="1" w:styleId="181">
    <w:name w:val="明显引用1"/>
    <w:basedOn w:val="1"/>
    <w:next w:val="1"/>
    <w:link w:val="180"/>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2">
    <w:name w:val="Char Char20"/>
    <w:qFormat/>
    <w:uiPriority w:val="0"/>
    <w:rPr>
      <w:rFonts w:ascii="Arial" w:hAnsi="Arial" w:eastAsia="黑体"/>
      <w:kern w:val="2"/>
      <w:sz w:val="21"/>
    </w:rPr>
  </w:style>
  <w:style w:type="character" w:customStyle="1" w:styleId="183">
    <w:name w:val="No Spacing Char Char"/>
    <w:link w:val="184"/>
    <w:qFormat/>
    <w:uiPriority w:val="0"/>
    <w:rPr>
      <w:rFonts w:eastAsia="微软雅黑"/>
      <w:kern w:val="2"/>
      <w:sz w:val="24"/>
      <w:szCs w:val="22"/>
      <w:lang w:val="en-US" w:eastAsia="zh-CN" w:bidi="ar-SA"/>
    </w:rPr>
  </w:style>
  <w:style w:type="paragraph" w:customStyle="1" w:styleId="184">
    <w:name w:val="无间隔2"/>
    <w:link w:val="18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5">
    <w:name w:val="小四 段落 宋体 Char Char Char Char Char Char"/>
    <w:qFormat/>
    <w:uiPriority w:val="0"/>
    <w:rPr>
      <w:rFonts w:eastAsia="宋体"/>
      <w:kern w:val="2"/>
      <w:sz w:val="24"/>
      <w:lang w:val="en-US" w:eastAsia="zh-CN"/>
    </w:rPr>
  </w:style>
  <w:style w:type="character" w:customStyle="1" w:styleId="186">
    <w:name w:val="3zw"/>
    <w:basedOn w:val="63"/>
    <w:qFormat/>
    <w:uiPriority w:val="0"/>
    <w:rPr>
      <w:rFonts w:cs="Times New Roman"/>
    </w:rPr>
  </w:style>
  <w:style w:type="character" w:customStyle="1" w:styleId="187">
    <w:name w:val="Intense Quote Char Char"/>
    <w:qFormat/>
    <w:uiPriority w:val="0"/>
    <w:rPr>
      <w:rFonts w:ascii="Calibri" w:hAnsi="Calibri"/>
      <w:b/>
      <w:i/>
      <w:sz w:val="22"/>
      <w:lang w:eastAsia="en-US"/>
    </w:rPr>
  </w:style>
  <w:style w:type="character" w:customStyle="1" w:styleId="188">
    <w:name w:val="Body Text Indent 3 Char"/>
    <w:qFormat/>
    <w:uiPriority w:val="0"/>
    <w:rPr>
      <w:rFonts w:ascii="Arial" w:hAnsi="Arial" w:eastAsia="仿宋_GB2312"/>
      <w:color w:val="FFFF00"/>
      <w:sz w:val="32"/>
    </w:rPr>
  </w:style>
  <w:style w:type="character" w:customStyle="1" w:styleId="189">
    <w:name w:val="A2"/>
    <w:qFormat/>
    <w:uiPriority w:val="0"/>
    <w:rPr>
      <w:color w:val="000000"/>
      <w:sz w:val="18"/>
    </w:rPr>
  </w:style>
  <w:style w:type="character" w:customStyle="1" w:styleId="190">
    <w:name w:val="标题 1 Char"/>
    <w:basedOn w:val="63"/>
    <w:link w:val="3"/>
    <w:qFormat/>
    <w:uiPriority w:val="0"/>
    <w:rPr>
      <w:rFonts w:ascii="黑体" w:hAnsi="Times New Roman" w:eastAsia="黑体" w:cs="Times New Roman"/>
      <w:b/>
      <w:kern w:val="44"/>
      <w:sz w:val="28"/>
      <w:szCs w:val="28"/>
    </w:rPr>
  </w:style>
  <w:style w:type="character" w:customStyle="1" w:styleId="191">
    <w:name w:val="明显参考1"/>
    <w:basedOn w:val="63"/>
    <w:qFormat/>
    <w:uiPriority w:val="0"/>
    <w:rPr>
      <w:smallCaps/>
      <w:spacing w:val="5"/>
      <w:u w:val="single"/>
    </w:rPr>
  </w:style>
  <w:style w:type="character" w:customStyle="1" w:styleId="192">
    <w:name w:val="称呼 Char"/>
    <w:basedOn w:val="63"/>
    <w:link w:val="25"/>
    <w:qFormat/>
    <w:uiPriority w:val="0"/>
    <w:rPr>
      <w:rFonts w:ascii="仿宋_GB2312" w:hAnsi="Times New Roman" w:eastAsia="仿宋_GB2312" w:cs="Times New Roman"/>
      <w:sz w:val="20"/>
      <w:szCs w:val="20"/>
    </w:rPr>
  </w:style>
  <w:style w:type="character" w:customStyle="1" w:styleId="193">
    <w:name w:val="111111 Char Char"/>
    <w:link w:val="194"/>
    <w:qFormat/>
    <w:uiPriority w:val="0"/>
    <w:rPr>
      <w:rFonts w:ascii="宋体" w:hAnsi="宋体" w:eastAsia="黑体"/>
      <w:b/>
      <w:sz w:val="21"/>
    </w:rPr>
  </w:style>
  <w:style w:type="paragraph" w:customStyle="1" w:styleId="194">
    <w:name w:val="111111"/>
    <w:basedOn w:val="1"/>
    <w:link w:val="193"/>
    <w:qFormat/>
    <w:uiPriority w:val="0"/>
    <w:pPr>
      <w:spacing w:before="120" w:after="120"/>
      <w:jc w:val="center"/>
    </w:pPr>
    <w:rPr>
      <w:rFonts w:ascii="宋体" w:hAnsi="宋体" w:eastAsia="黑体"/>
      <w:b/>
      <w:kern w:val="0"/>
    </w:rPr>
  </w:style>
  <w:style w:type="character" w:customStyle="1" w:styleId="195">
    <w:name w:val="小四 段落 宋体 Char1"/>
    <w:qFormat/>
    <w:uiPriority w:val="0"/>
    <w:rPr>
      <w:rFonts w:eastAsia="宋体"/>
      <w:kern w:val="2"/>
      <w:sz w:val="24"/>
      <w:lang w:val="en-US" w:eastAsia="zh-CN"/>
    </w:rPr>
  </w:style>
  <w:style w:type="character" w:customStyle="1" w:styleId="196">
    <w:name w:val="文档结构图 Char1"/>
    <w:basedOn w:val="63"/>
    <w:link w:val="22"/>
    <w:qFormat/>
    <w:uiPriority w:val="0"/>
    <w:rPr>
      <w:rFonts w:ascii="Times New Roman" w:hAnsi="Times New Roman"/>
      <w:kern w:val="2"/>
      <w:sz w:val="16"/>
      <w:szCs w:val="0"/>
    </w:rPr>
  </w:style>
  <w:style w:type="character" w:customStyle="1" w:styleId="197">
    <w:name w:val="title_emph1"/>
    <w:qFormat/>
    <w:uiPriority w:val="0"/>
    <w:rPr>
      <w:rFonts w:ascii="Arial"/>
      <w:b/>
      <w:sz w:val="18"/>
    </w:rPr>
  </w:style>
  <w:style w:type="character" w:customStyle="1" w:styleId="198">
    <w:name w:val="页脚 Char"/>
    <w:basedOn w:val="63"/>
    <w:link w:val="38"/>
    <w:qFormat/>
    <w:uiPriority w:val="0"/>
    <w:rPr>
      <w:rFonts w:cs="Times New Roman"/>
      <w:sz w:val="18"/>
      <w:szCs w:val="18"/>
    </w:rPr>
  </w:style>
  <w:style w:type="character" w:customStyle="1" w:styleId="199">
    <w:name w:val="书籍标题1"/>
    <w:basedOn w:val="63"/>
    <w:qFormat/>
    <w:uiPriority w:val="0"/>
    <w:rPr>
      <w:i/>
      <w:smallCaps/>
      <w:spacing w:val="5"/>
    </w:rPr>
  </w:style>
  <w:style w:type="character" w:customStyle="1" w:styleId="200">
    <w:name w:val="不明显参考1"/>
    <w:basedOn w:val="63"/>
    <w:qFormat/>
    <w:uiPriority w:val="0"/>
    <w:rPr>
      <w:smallCaps/>
    </w:rPr>
  </w:style>
  <w:style w:type="character" w:customStyle="1" w:styleId="201">
    <w:name w:val="样式 首行缩进:  2 字符 Char Char"/>
    <w:link w:val="202"/>
    <w:qFormat/>
    <w:uiPriority w:val="0"/>
    <w:rPr>
      <w:sz w:val="24"/>
    </w:rPr>
  </w:style>
  <w:style w:type="paragraph" w:customStyle="1" w:styleId="202">
    <w:name w:val="样式 首行缩进:  2 字符"/>
    <w:basedOn w:val="1"/>
    <w:link w:val="201"/>
    <w:qFormat/>
    <w:uiPriority w:val="0"/>
    <w:pPr>
      <w:spacing w:line="360" w:lineRule="auto"/>
      <w:ind w:firstLine="480" w:firstLineChars="200"/>
    </w:pPr>
    <w:rPr>
      <w:rFonts w:ascii="Calibri" w:hAnsi="Calibri"/>
      <w:kern w:val="0"/>
      <w:sz w:val="24"/>
    </w:rPr>
  </w:style>
  <w:style w:type="character" w:customStyle="1" w:styleId="203">
    <w:name w:val="标题 3 Char1"/>
    <w:basedOn w:val="63"/>
    <w:link w:val="9"/>
    <w:qFormat/>
    <w:uiPriority w:val="0"/>
    <w:rPr>
      <w:rFonts w:ascii="宋体" w:hAnsi="宋体" w:eastAsia="宋体"/>
      <w:b/>
      <w:sz w:val="28"/>
      <w:shd w:val="clear" w:color="auto" w:fill="FFFFFF"/>
    </w:rPr>
  </w:style>
  <w:style w:type="character" w:customStyle="1" w:styleId="204">
    <w:name w:val="Char Char22"/>
    <w:qFormat/>
    <w:uiPriority w:val="0"/>
    <w:rPr>
      <w:b/>
      <w:kern w:val="2"/>
      <w:sz w:val="24"/>
    </w:rPr>
  </w:style>
  <w:style w:type="character" w:customStyle="1" w:styleId="205">
    <w:name w:val="批注框文本 Char"/>
    <w:basedOn w:val="63"/>
    <w:link w:val="37"/>
    <w:qFormat/>
    <w:uiPriority w:val="0"/>
    <w:rPr>
      <w:rFonts w:ascii="Times New Roman" w:hAnsi="Times New Roman" w:eastAsia="宋体" w:cs="Times New Roman"/>
      <w:sz w:val="18"/>
      <w:szCs w:val="18"/>
    </w:rPr>
  </w:style>
  <w:style w:type="character" w:customStyle="1" w:styleId="206">
    <w:name w:val="尾注文本 Char"/>
    <w:basedOn w:val="63"/>
    <w:link w:val="36"/>
    <w:qFormat/>
    <w:uiPriority w:val="0"/>
    <w:rPr>
      <w:rFonts w:ascii="Times New Roman" w:hAnsi="Times New Roman" w:eastAsia="宋体" w:cs="Times New Roman"/>
      <w:kern w:val="0"/>
      <w:sz w:val="24"/>
      <w:szCs w:val="24"/>
    </w:rPr>
  </w:style>
  <w:style w:type="character" w:customStyle="1" w:styleId="207">
    <w:name w:val="point_normal1"/>
    <w:qFormat/>
    <w:uiPriority w:val="0"/>
    <w:rPr>
      <w:rFonts w:ascii="Arial" w:hAnsi="Arial"/>
      <w:sz w:val="18"/>
    </w:rPr>
  </w:style>
  <w:style w:type="character" w:customStyle="1" w:styleId="208">
    <w:name w:val="Char Char26"/>
    <w:qFormat/>
    <w:uiPriority w:val="0"/>
    <w:rPr>
      <w:b/>
      <w:kern w:val="2"/>
      <w:sz w:val="32"/>
    </w:rPr>
  </w:style>
  <w:style w:type="character" w:customStyle="1" w:styleId="209">
    <w:name w:val="Char Char24"/>
    <w:qFormat/>
    <w:uiPriority w:val="0"/>
    <w:rPr>
      <w:b/>
      <w:kern w:val="2"/>
      <w:sz w:val="28"/>
    </w:rPr>
  </w:style>
  <w:style w:type="character" w:customStyle="1" w:styleId="210">
    <w:name w:val="concon"/>
    <w:qFormat/>
    <w:uiPriority w:val="0"/>
  </w:style>
  <w:style w:type="paragraph" w:customStyle="1" w:styleId="211">
    <w:name w:val="标准文本"/>
    <w:basedOn w:val="1"/>
    <w:qFormat/>
    <w:uiPriority w:val="0"/>
    <w:pPr>
      <w:spacing w:line="360" w:lineRule="auto"/>
      <w:ind w:firstLine="480" w:firstLineChars="200"/>
    </w:pPr>
    <w:rPr>
      <w:rFonts w:cs="宋体"/>
      <w:sz w:val="24"/>
      <w:szCs w:val="24"/>
    </w:rPr>
  </w:style>
  <w:style w:type="paragraph" w:customStyle="1" w:styleId="212">
    <w:name w:val="Char Char Char Char Char Char Char Char Char Char Char Char Char1"/>
    <w:basedOn w:val="1"/>
    <w:qFormat/>
    <w:uiPriority w:val="0"/>
    <w:pPr>
      <w:widowControl/>
      <w:spacing w:after="160" w:line="240" w:lineRule="exact"/>
      <w:jc w:val="left"/>
    </w:pPr>
    <w:rPr>
      <w:szCs w:val="24"/>
    </w:rPr>
  </w:style>
  <w:style w:type="paragraph" w:customStyle="1" w:styleId="21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4">
    <w:name w:val="flType"/>
    <w:basedOn w:val="215"/>
    <w:qFormat/>
    <w:uiPriority w:val="0"/>
    <w:pPr>
      <w:spacing w:after="284"/>
    </w:pPr>
    <w:rPr>
      <w:rFonts w:eastAsia="宋体"/>
      <w:b w:val="0"/>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华宇段落1 Char"/>
    <w:basedOn w:val="1"/>
    <w:qFormat/>
    <w:uiPriority w:val="0"/>
    <w:pPr>
      <w:spacing w:line="360" w:lineRule="auto"/>
      <w:ind w:firstLine="200" w:firstLineChars="200"/>
    </w:pPr>
    <w:rPr>
      <w:bCs/>
      <w:sz w:val="24"/>
      <w:szCs w:val="24"/>
    </w:rPr>
  </w:style>
  <w:style w:type="paragraph" w:customStyle="1" w:styleId="21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19">
    <w:name w:val="Char Char Char Char Char Char Char Char Char"/>
    <w:basedOn w:val="1"/>
    <w:qFormat/>
    <w:uiPriority w:val="0"/>
    <w:pPr>
      <w:tabs>
        <w:tab w:val="left" w:pos="360"/>
      </w:tabs>
      <w:ind w:left="200" w:hanging="200" w:hangingChars="200"/>
    </w:pPr>
    <w:rPr>
      <w:sz w:val="24"/>
      <w:szCs w:val="24"/>
    </w:rPr>
  </w:style>
  <w:style w:type="paragraph" w:customStyle="1" w:styleId="220">
    <w:name w:val="greytypebeni"/>
    <w:basedOn w:val="1"/>
    <w:qFormat/>
    <w:uiPriority w:val="0"/>
    <w:pPr>
      <w:widowControl/>
      <w:jc w:val="left"/>
    </w:pPr>
    <w:rPr>
      <w:rFonts w:ascii="宋体" w:hAnsi="宋体" w:cs="宋体"/>
      <w:kern w:val="0"/>
      <w:sz w:val="24"/>
      <w:szCs w:val="24"/>
    </w:rPr>
  </w:style>
  <w:style w:type="paragraph" w:customStyle="1" w:styleId="221">
    <w:name w:val="Char Char1 Char Char Char Char1 Char Char Char Char Char Char"/>
    <w:basedOn w:val="1"/>
    <w:qFormat/>
    <w:uiPriority w:val="0"/>
    <w:rPr>
      <w:rFonts w:ascii="Tahoma" w:hAnsi="Tahoma"/>
      <w:sz w:val="24"/>
    </w:rPr>
  </w:style>
  <w:style w:type="paragraph" w:customStyle="1" w:styleId="22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3">
    <w:name w:val="Char Char1"/>
    <w:basedOn w:val="1"/>
    <w:qFormat/>
    <w:uiPriority w:val="0"/>
    <w:rPr>
      <w:rFonts w:ascii="Tahoma" w:hAnsi="Tahoma" w:cs="Tahoma"/>
      <w:sz w:val="24"/>
    </w:rPr>
  </w:style>
  <w:style w:type="paragraph" w:customStyle="1" w:styleId="224">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2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6">
    <w:name w:val="font13"/>
    <w:basedOn w:val="1"/>
    <w:qFormat/>
    <w:uiPriority w:val="0"/>
    <w:pPr>
      <w:widowControl/>
      <w:spacing w:before="100" w:beforeAutospacing="1" w:after="100" w:afterAutospacing="1"/>
      <w:jc w:val="left"/>
    </w:pPr>
    <w:rPr>
      <w:i/>
      <w:iCs/>
      <w:kern w:val="0"/>
      <w:sz w:val="36"/>
      <w:szCs w:val="36"/>
    </w:rPr>
  </w:style>
  <w:style w:type="paragraph" w:customStyle="1" w:styleId="227">
    <w:name w:val="中等深浅网格 1 - 强调文字颜色 21"/>
    <w:basedOn w:val="1"/>
    <w:qFormat/>
    <w:uiPriority w:val="0"/>
    <w:pPr>
      <w:ind w:firstLine="420" w:firstLineChars="200"/>
    </w:pPr>
    <w:rPr>
      <w:rFonts w:ascii="Calibri" w:hAnsi="Calibri"/>
      <w:szCs w:val="22"/>
    </w:rPr>
  </w:style>
  <w:style w:type="paragraph" w:customStyle="1" w:styleId="228">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0">
    <w:name w:val="默认段落字体 Para Char Char Char Char Char Char Char Char Char1 Char Char Char Char Char Char Char"/>
    <w:basedOn w:val="22"/>
    <w:qFormat/>
    <w:uiPriority w:val="0"/>
  </w:style>
  <w:style w:type="paragraph" w:customStyle="1" w:styleId="231">
    <w:name w:val="样式 样式 首行缩进:  2 字符 + 行距: 1.5 倍行距"/>
    <w:basedOn w:val="1"/>
    <w:qFormat/>
    <w:uiPriority w:val="0"/>
    <w:pPr>
      <w:spacing w:line="360" w:lineRule="auto"/>
      <w:ind w:firstLine="470" w:firstLineChars="196"/>
    </w:pPr>
    <w:rPr>
      <w:sz w:val="24"/>
    </w:rPr>
  </w:style>
  <w:style w:type="paragraph" w:customStyle="1" w:styleId="232">
    <w:name w:val="正文11"/>
    <w:basedOn w:val="1"/>
    <w:next w:val="1"/>
    <w:qFormat/>
    <w:uiPriority w:val="0"/>
    <w:pPr>
      <w:spacing w:before="156" w:line="360" w:lineRule="auto"/>
      <w:ind w:firstLine="510" w:firstLineChars="200"/>
    </w:pPr>
    <w:rPr>
      <w:sz w:val="24"/>
    </w:rPr>
  </w:style>
  <w:style w:type="paragraph" w:customStyle="1" w:styleId="23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4">
    <w:name w:val="Char Char11"/>
    <w:basedOn w:val="1"/>
    <w:qFormat/>
    <w:uiPriority w:val="0"/>
    <w:rPr>
      <w:rFonts w:ascii="Tahoma" w:hAnsi="Tahoma"/>
      <w:sz w:val="24"/>
    </w:rPr>
  </w:style>
  <w:style w:type="paragraph" w:customStyle="1" w:styleId="235">
    <w:name w:val="丁华正文"/>
    <w:basedOn w:val="48"/>
    <w:qFormat/>
    <w:uiPriority w:val="0"/>
    <w:pPr>
      <w:adjustRightInd w:val="0"/>
      <w:snapToGrid w:val="0"/>
      <w:spacing w:line="360" w:lineRule="auto"/>
      <w:ind w:left="0" w:firstLine="510"/>
    </w:pPr>
    <w:rPr>
      <w:sz w:val="24"/>
    </w:rPr>
  </w:style>
  <w:style w:type="paragraph" w:customStyle="1" w:styleId="236">
    <w:name w:val="正文 居中"/>
    <w:basedOn w:val="1"/>
    <w:qFormat/>
    <w:uiPriority w:val="0"/>
    <w:pPr>
      <w:spacing w:line="360" w:lineRule="auto"/>
      <w:jc w:val="center"/>
    </w:pPr>
    <w:rPr>
      <w:sz w:val="24"/>
    </w:rPr>
  </w:style>
  <w:style w:type="paragraph" w:customStyle="1" w:styleId="237">
    <w:name w:val="Char Char3"/>
    <w:basedOn w:val="1"/>
    <w:qFormat/>
    <w:uiPriority w:val="0"/>
    <w:rPr>
      <w:rFonts w:ascii="Tahoma" w:hAnsi="Tahoma" w:cs="Tahoma"/>
      <w:sz w:val="24"/>
    </w:rPr>
  </w:style>
  <w:style w:type="paragraph" w:customStyle="1" w:styleId="238">
    <w:name w:val="Char Char Char Char Char"/>
    <w:basedOn w:val="1"/>
    <w:qFormat/>
    <w:uiPriority w:val="0"/>
    <w:rPr>
      <w:rFonts w:ascii="Tahoma" w:hAnsi="Tahoma"/>
      <w:sz w:val="24"/>
    </w:rPr>
  </w:style>
  <w:style w:type="paragraph" w:customStyle="1" w:styleId="23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0">
    <w:name w:val="Char Char1 Char Char Char Char Char Char Char"/>
    <w:basedOn w:val="1"/>
    <w:qFormat/>
    <w:uiPriority w:val="0"/>
    <w:rPr>
      <w:rFonts w:ascii="Tahoma" w:hAnsi="Tahoma" w:cs="Tahoma"/>
      <w:sz w:val="24"/>
    </w:rPr>
  </w:style>
  <w:style w:type="paragraph" w:customStyle="1" w:styleId="241">
    <w:name w:val="样式"/>
    <w:basedOn w:val="1"/>
    <w:qFormat/>
    <w:uiPriority w:val="0"/>
    <w:pPr>
      <w:autoSpaceDE w:val="0"/>
      <w:autoSpaceDN w:val="0"/>
      <w:snapToGrid w:val="0"/>
      <w:spacing w:before="120" w:after="120" w:line="360" w:lineRule="auto"/>
    </w:pPr>
    <w:rPr>
      <w:rFonts w:ascii="宋体"/>
      <w:sz w:val="24"/>
    </w:rPr>
  </w:style>
  <w:style w:type="paragraph" w:customStyle="1" w:styleId="24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3">
    <w:name w:val="Char Char1 Char Char Char Char"/>
    <w:basedOn w:val="22"/>
    <w:qFormat/>
    <w:uiPriority w:val="0"/>
    <w:pPr>
      <w:adjustRightInd w:val="0"/>
      <w:spacing w:line="436" w:lineRule="exact"/>
      <w:ind w:left="357"/>
      <w:jc w:val="left"/>
      <w:outlineLvl w:val="3"/>
    </w:pPr>
    <w:rPr>
      <w:rFonts w:ascii="Tahoma" w:hAnsi="Tahoma" w:cs="Tahoma"/>
      <w:b/>
      <w:sz w:val="24"/>
      <w:szCs w:val="24"/>
    </w:rPr>
  </w:style>
  <w:style w:type="paragraph" w:customStyle="1" w:styleId="244">
    <w:name w:val="标准小四"/>
    <w:basedOn w:val="1"/>
    <w:qFormat/>
    <w:uiPriority w:val="0"/>
    <w:pPr>
      <w:spacing w:line="360" w:lineRule="auto"/>
      <w:ind w:firstLine="480" w:firstLineChars="200"/>
    </w:pPr>
    <w:rPr>
      <w:rFonts w:ascii="Arial" w:hAnsi="Arial"/>
      <w:sz w:val="24"/>
      <w:szCs w:val="21"/>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Char Char Char Char Char Char Char1"/>
    <w:basedOn w:val="1"/>
    <w:qFormat/>
    <w:uiPriority w:val="0"/>
    <w:rPr>
      <w:rFonts w:ascii="Tahoma" w:hAnsi="Tahoma"/>
      <w:sz w:val="24"/>
    </w:rPr>
  </w:style>
  <w:style w:type="paragraph" w:customStyle="1" w:styleId="24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0">
    <w:name w:val="默认段落字体 Para Char"/>
    <w:basedOn w:val="1"/>
    <w:qFormat/>
    <w:uiPriority w:val="0"/>
    <w:rPr>
      <w:sz w:val="24"/>
      <w:szCs w:val="24"/>
    </w:rPr>
  </w:style>
  <w:style w:type="paragraph" w:customStyle="1" w:styleId="251">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标题1，章节第一层"/>
    <w:basedOn w:val="254"/>
    <w:next w:val="254"/>
    <w:qFormat/>
    <w:uiPriority w:val="0"/>
    <w:pPr>
      <w:tabs>
        <w:tab w:val="left" w:pos="693"/>
      </w:tabs>
      <w:ind w:left="482"/>
      <w:outlineLvl w:val="0"/>
    </w:pPr>
    <w:rPr>
      <w:color w:val="000000"/>
      <w:sz w:val="24"/>
      <w:szCs w:val="24"/>
    </w:rPr>
  </w:style>
  <w:style w:type="paragraph" w:customStyle="1" w:styleId="254">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6">
    <w:name w:val="正文表标题"/>
    <w:next w:val="24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7">
    <w:name w:val="默认段落字体 Para Char Char Char Char Char Char Char"/>
    <w:basedOn w:val="1"/>
    <w:qFormat/>
    <w:uiPriority w:val="0"/>
  </w:style>
  <w:style w:type="paragraph" w:customStyle="1" w:styleId="258">
    <w:name w:val="Char Char Char1"/>
    <w:basedOn w:val="22"/>
    <w:qFormat/>
    <w:uiPriority w:val="0"/>
    <w:pPr>
      <w:spacing w:line="436" w:lineRule="exact"/>
    </w:pPr>
    <w:rPr>
      <w:szCs w:val="24"/>
    </w:rPr>
  </w:style>
  <w:style w:type="paragraph" w:customStyle="1" w:styleId="259">
    <w:name w:val="表格1"/>
    <w:basedOn w:val="1"/>
    <w:qFormat/>
    <w:uiPriority w:val="0"/>
    <w:pPr>
      <w:adjustRightInd w:val="0"/>
      <w:textAlignment w:val="baseline"/>
    </w:pPr>
    <w:rPr>
      <w:rFonts w:ascii="宋体"/>
      <w:kern w:val="24"/>
      <w:szCs w:val="21"/>
    </w:rPr>
  </w:style>
  <w:style w:type="paragraph" w:customStyle="1" w:styleId="260">
    <w:name w:val="项目符号：一级"/>
    <w:basedOn w:val="254"/>
    <w:next w:val="254"/>
    <w:qFormat/>
    <w:uiPriority w:val="0"/>
    <w:pPr>
      <w:ind w:right="-134" w:rightChars="-64"/>
    </w:pPr>
    <w:rPr>
      <w:bCs w:val="0"/>
    </w:r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2">
    <w:name w:val="Char1 Char Char Char1"/>
    <w:basedOn w:val="1"/>
    <w:qFormat/>
    <w:uiPriority w:val="0"/>
    <w:rPr>
      <w:rFonts w:ascii="Tahoma" w:hAnsi="Tahoma" w:cs="Tahoma"/>
      <w:sz w:val="24"/>
    </w:rPr>
  </w:style>
  <w:style w:type="paragraph" w:customStyle="1" w:styleId="263">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4">
    <w:name w:val="正文文本缩进1"/>
    <w:basedOn w:val="1"/>
    <w:qFormat/>
    <w:uiPriority w:val="0"/>
    <w:pPr>
      <w:spacing w:after="120"/>
      <w:ind w:left="420" w:leftChars="200"/>
    </w:pPr>
    <w:rPr>
      <w:szCs w:val="24"/>
    </w:rPr>
  </w:style>
  <w:style w:type="paragraph" w:customStyle="1" w:styleId="26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6">
    <w:name w:val="表格"/>
    <w:basedOn w:val="1"/>
    <w:qFormat/>
    <w:uiPriority w:val="0"/>
    <w:pPr>
      <w:snapToGrid w:val="0"/>
      <w:ind w:firstLine="21" w:firstLineChars="21"/>
    </w:pPr>
    <w:rPr>
      <w:rFonts w:ascii="宋体" w:hAnsi="宋体" w:cs="宋体"/>
      <w:kern w:val="0"/>
      <w:sz w:val="20"/>
    </w:rPr>
  </w:style>
  <w:style w:type="paragraph" w:customStyle="1" w:styleId="267">
    <w:name w:val="Char Char Char Char Char Char Char"/>
    <w:basedOn w:val="1"/>
    <w:qFormat/>
    <w:uiPriority w:val="0"/>
    <w:pPr>
      <w:jc w:val="left"/>
    </w:pPr>
    <w:rPr>
      <w:rFonts w:ascii="Tahoma" w:hAnsi="Tahoma"/>
      <w:sz w:val="24"/>
    </w:rPr>
  </w:style>
  <w:style w:type="paragraph" w:customStyle="1" w:styleId="2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9">
    <w:name w:val="表格内文字"/>
    <w:basedOn w:val="1"/>
    <w:qFormat/>
    <w:uiPriority w:val="0"/>
    <w:pPr>
      <w:spacing w:line="300" w:lineRule="atLeast"/>
    </w:pPr>
    <w:rPr>
      <w:sz w:val="18"/>
      <w:szCs w:val="24"/>
    </w:rPr>
  </w:style>
  <w:style w:type="paragraph" w:customStyle="1" w:styleId="270">
    <w:name w:val="样式3"/>
    <w:basedOn w:val="1"/>
    <w:next w:val="1"/>
    <w:qFormat/>
    <w:uiPriority w:val="0"/>
    <w:pPr>
      <w:spacing w:line="360" w:lineRule="auto"/>
    </w:pPr>
  </w:style>
  <w:style w:type="paragraph" w:customStyle="1" w:styleId="271">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4">
    <w:name w:val="符号与编号 Char"/>
    <w:basedOn w:val="1"/>
    <w:qFormat/>
    <w:uiPriority w:val="0"/>
    <w:pPr>
      <w:tabs>
        <w:tab w:val="left" w:pos="720"/>
      </w:tabs>
      <w:spacing w:afterLines="50" w:line="400" w:lineRule="atLeast"/>
      <w:ind w:left="720"/>
    </w:pPr>
    <w:rPr>
      <w:sz w:val="24"/>
      <w:szCs w:val="24"/>
    </w:rPr>
  </w:style>
  <w:style w:type="paragraph" w:customStyle="1" w:styleId="275">
    <w:name w:val="正文2"/>
    <w:basedOn w:val="1"/>
    <w:qFormat/>
    <w:uiPriority w:val="0"/>
    <w:pPr>
      <w:spacing w:before="156" w:line="360" w:lineRule="auto"/>
      <w:ind w:firstLine="510" w:firstLineChars="200"/>
    </w:pPr>
    <w:rPr>
      <w:sz w:val="24"/>
    </w:rPr>
  </w:style>
  <w:style w:type="paragraph" w:customStyle="1" w:styleId="276">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7">
    <w:name w:val="章标题"/>
    <w:next w:val="24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8">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79">
    <w:name w:val="Char1"/>
    <w:basedOn w:val="1"/>
    <w:qFormat/>
    <w:uiPriority w:val="0"/>
    <w:rPr>
      <w:rFonts w:ascii="仿宋_GB2312" w:hAnsi="宋体" w:eastAsia="仿宋_GB2312" w:cs="宋体"/>
      <w:b/>
      <w:sz w:val="32"/>
      <w:szCs w:val="32"/>
    </w:rPr>
  </w:style>
  <w:style w:type="paragraph" w:customStyle="1" w:styleId="28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2">
    <w:name w:val="Char Char Char Char Char Char Char Char Char1"/>
    <w:basedOn w:val="1"/>
    <w:qFormat/>
    <w:uiPriority w:val="0"/>
    <w:pPr>
      <w:tabs>
        <w:tab w:val="left" w:pos="360"/>
      </w:tabs>
      <w:ind w:left="360" w:hanging="360" w:hangingChars="200"/>
    </w:pPr>
    <w:rPr>
      <w:sz w:val="24"/>
      <w:szCs w:val="24"/>
    </w:rPr>
  </w:style>
  <w:style w:type="paragraph" w:customStyle="1" w:styleId="283">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标题3，章节第三层"/>
    <w:basedOn w:val="1"/>
    <w:next w:val="254"/>
    <w:qFormat/>
    <w:uiPriority w:val="0"/>
    <w:pPr>
      <w:adjustRightInd w:val="0"/>
      <w:snapToGrid w:val="0"/>
      <w:spacing w:before="78" w:line="300" w:lineRule="auto"/>
      <w:outlineLvl w:val="2"/>
    </w:pPr>
    <w:rPr>
      <w:rFonts w:ascii="Arial" w:hAnsi="Arial" w:eastAsia="华文细黑"/>
      <w:sz w:val="30"/>
      <w:szCs w:val="24"/>
    </w:rPr>
  </w:style>
  <w:style w:type="paragraph" w:customStyle="1" w:styleId="28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7">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89">
    <w:name w:val="Char Char Char Char Char Char Char Char Char Char Char Char Char Char Char Char Char Char Char Char Char1"/>
    <w:basedOn w:val="1"/>
    <w:qFormat/>
    <w:uiPriority w:val="0"/>
    <w:rPr>
      <w:rFonts w:ascii="Tahoma" w:hAnsi="Tahoma" w:cs="Tahoma"/>
      <w:sz w:val="24"/>
    </w:rPr>
  </w:style>
  <w:style w:type="paragraph" w:customStyle="1" w:styleId="290">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1">
    <w:name w:val="font11"/>
    <w:basedOn w:val="1"/>
    <w:qFormat/>
    <w:uiPriority w:val="0"/>
    <w:pPr>
      <w:widowControl/>
      <w:spacing w:before="100" w:beforeAutospacing="1" w:after="100" w:afterAutospacing="1"/>
      <w:jc w:val="left"/>
    </w:pPr>
    <w:rPr>
      <w:b/>
      <w:bCs/>
      <w:kern w:val="0"/>
      <w:sz w:val="18"/>
      <w:szCs w:val="18"/>
    </w:rPr>
  </w:style>
  <w:style w:type="paragraph" w:customStyle="1" w:styleId="2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3">
    <w:name w:val="标题 4宋体"/>
    <w:basedOn w:val="10"/>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7">
    <w:name w:val="普通文字"/>
    <w:basedOn w:val="1"/>
    <w:next w:val="1"/>
    <w:qFormat/>
    <w:uiPriority w:val="0"/>
    <w:rPr>
      <w:rFonts w:ascii="宋体" w:hAnsi="宋体" w:cs="宋体"/>
      <w:kern w:val="0"/>
      <w:sz w:val="24"/>
      <w:u w:color="000000"/>
    </w:rPr>
  </w:style>
  <w:style w:type="paragraph" w:customStyle="1" w:styleId="2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9">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0">
    <w:name w:val="标题3"/>
    <w:basedOn w:val="9"/>
    <w:qFormat/>
    <w:uiPriority w:val="0"/>
    <w:pPr>
      <w:keepNext w:val="0"/>
      <w:keepLines w:val="0"/>
      <w:spacing w:line="360" w:lineRule="auto"/>
    </w:pPr>
    <w:rPr>
      <w:rFonts w:eastAsia="仿宋_GB2312"/>
      <w:b w:val="0"/>
      <w:bCs/>
      <w:sz w:val="30"/>
      <w:szCs w:val="32"/>
    </w:rPr>
  </w:style>
  <w:style w:type="paragraph" w:customStyle="1" w:styleId="301">
    <w:name w:val="retrait3"/>
    <w:basedOn w:val="1"/>
    <w:qFormat/>
    <w:uiPriority w:val="0"/>
    <w:pPr>
      <w:widowControl/>
      <w:spacing w:before="20" w:after="20"/>
      <w:ind w:left="851"/>
      <w:jc w:val="left"/>
    </w:pPr>
    <w:rPr>
      <w:rFonts w:ascii="Arial" w:hAnsi="Arial"/>
      <w:kern w:val="0"/>
      <w:sz w:val="24"/>
      <w:lang w:val="en-GB"/>
    </w:rPr>
  </w:style>
  <w:style w:type="paragraph" w:customStyle="1" w:styleId="302">
    <w:name w:val="项目符号，一级"/>
    <w:basedOn w:val="254"/>
    <w:next w:val="254"/>
    <w:qFormat/>
    <w:uiPriority w:val="0"/>
    <w:pPr>
      <w:tabs>
        <w:tab w:val="left" w:pos="1320"/>
      </w:tabs>
      <w:spacing w:line="240" w:lineRule="atLeast"/>
      <w:ind w:left="376" w:leftChars="179" w:firstLine="0"/>
    </w:pPr>
    <w:rPr>
      <w:bCs w:val="0"/>
      <w:color w:val="000000"/>
      <w:szCs w:val="24"/>
    </w:rPr>
  </w:style>
  <w:style w:type="paragraph" w:customStyle="1" w:styleId="3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6">
    <w:name w:val="表头_5"/>
    <w:basedOn w:val="1"/>
    <w:qFormat/>
    <w:uiPriority w:val="0"/>
    <w:pPr>
      <w:adjustRightInd w:val="0"/>
      <w:spacing w:line="360" w:lineRule="auto"/>
      <w:textAlignment w:val="baseline"/>
    </w:pPr>
    <w:rPr>
      <w:b/>
      <w:bCs/>
      <w:sz w:val="28"/>
      <w:szCs w:val="21"/>
    </w:rPr>
  </w:style>
  <w:style w:type="paragraph" w:customStyle="1" w:styleId="3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8">
    <w:name w:val="_Style 42"/>
    <w:basedOn w:val="1"/>
    <w:next w:val="27"/>
    <w:qFormat/>
    <w:uiPriority w:val="0"/>
    <w:rPr>
      <w:rFonts w:ascii="楷体_GB2312" w:hAnsi="Arial" w:eastAsia="楷体_GB2312"/>
      <w:sz w:val="28"/>
    </w:rPr>
  </w:style>
  <w:style w:type="paragraph" w:customStyle="1" w:styleId="3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0">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4">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5">
    <w:name w:val="Char Char Char Char Char Char Char Char Char Char Char Char Char"/>
    <w:basedOn w:val="22"/>
    <w:qFormat/>
    <w:uiPriority w:val="0"/>
    <w:rPr>
      <w:rFonts w:ascii="Tahoma" w:hAnsi="Tahoma"/>
      <w:sz w:val="24"/>
      <w:szCs w:val="24"/>
    </w:rPr>
  </w:style>
  <w:style w:type="paragraph" w:customStyle="1" w:styleId="31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7">
    <w:name w:val="段落"/>
    <w:basedOn w:val="1"/>
    <w:qFormat/>
    <w:uiPriority w:val="0"/>
    <w:pPr>
      <w:spacing w:line="460" w:lineRule="exact"/>
      <w:ind w:firstLine="480"/>
    </w:pPr>
    <w:rPr>
      <w:sz w:val="24"/>
    </w:rPr>
  </w:style>
  <w:style w:type="paragraph" w:customStyle="1" w:styleId="318">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0">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1">
    <w:name w:val="font9"/>
    <w:basedOn w:val="1"/>
    <w:qFormat/>
    <w:uiPriority w:val="0"/>
    <w:pPr>
      <w:widowControl/>
      <w:spacing w:before="100" w:beforeAutospacing="1" w:after="100" w:afterAutospacing="1"/>
      <w:jc w:val="left"/>
    </w:pPr>
    <w:rPr>
      <w:b/>
      <w:bCs/>
      <w:kern w:val="0"/>
      <w:sz w:val="20"/>
    </w:rPr>
  </w:style>
  <w:style w:type="paragraph" w:customStyle="1" w:styleId="32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3">
    <w:name w:val="Char1 Char Char Char"/>
    <w:basedOn w:val="1"/>
    <w:qFormat/>
    <w:uiPriority w:val="0"/>
    <w:rPr>
      <w:rFonts w:ascii="Tahoma" w:hAnsi="Tahoma"/>
      <w:sz w:val="24"/>
    </w:rPr>
  </w:style>
  <w:style w:type="paragraph" w:customStyle="1" w:styleId="324">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5">
    <w:name w:val="样式2"/>
    <w:basedOn w:val="1"/>
    <w:qFormat/>
    <w:uiPriority w:val="0"/>
    <w:pPr>
      <w:spacing w:line="360" w:lineRule="auto"/>
      <w:ind w:left="200" w:leftChars="200"/>
    </w:pPr>
    <w:rPr>
      <w:rFonts w:ascii="宋体" w:hAnsi="宋体"/>
      <w:b/>
      <w:sz w:val="24"/>
      <w:szCs w:val="24"/>
    </w:rPr>
  </w:style>
  <w:style w:type="paragraph" w:customStyle="1" w:styleId="326">
    <w:name w:val="条1"/>
    <w:basedOn w:val="1"/>
    <w:qFormat/>
    <w:uiPriority w:val="0"/>
    <w:pPr>
      <w:tabs>
        <w:tab w:val="left" w:pos="780"/>
      </w:tabs>
      <w:spacing w:before="156" w:line="360" w:lineRule="auto"/>
      <w:ind w:left="780" w:hanging="360"/>
    </w:pPr>
    <w:rPr>
      <w:rFonts w:eastAsia="黑体"/>
      <w:sz w:val="24"/>
    </w:rPr>
  </w:style>
  <w:style w:type="paragraph" w:customStyle="1" w:styleId="327">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8">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9">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1">
    <w:name w:val="1"/>
    <w:basedOn w:val="1"/>
    <w:next w:val="54"/>
    <w:qFormat/>
    <w:uiPriority w:val="0"/>
    <w:pPr>
      <w:spacing w:line="360" w:lineRule="auto"/>
    </w:pPr>
    <w:rPr>
      <w:rFonts w:eastAsia="仿宋_GB2312"/>
      <w:sz w:val="24"/>
      <w:szCs w:val="24"/>
    </w:rPr>
  </w:style>
  <w:style w:type="paragraph" w:customStyle="1" w:styleId="332">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3">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5">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33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7">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8">
    <w:name w:val="公文正文"/>
    <w:basedOn w:val="7"/>
    <w:qFormat/>
    <w:uiPriority w:val="0"/>
    <w:pPr>
      <w:ind w:firstLine="200" w:firstLineChars="200"/>
    </w:pPr>
    <w:rPr>
      <w:rFonts w:ascii="仿宋_GB2312" w:hAnsi="宋体" w:eastAsia="仿宋_GB2312"/>
      <w:kern w:val="28"/>
      <w:sz w:val="28"/>
      <w:szCs w:val="24"/>
    </w:rPr>
  </w:style>
  <w:style w:type="paragraph" w:customStyle="1" w:styleId="339">
    <w:name w:val="马刚标题4"/>
    <w:basedOn w:val="340"/>
    <w:next w:val="1"/>
    <w:qFormat/>
    <w:uiPriority w:val="0"/>
    <w:pPr>
      <w:tabs>
        <w:tab w:val="left" w:pos="567"/>
        <w:tab w:val="left" w:pos="735"/>
        <w:tab w:val="left" w:pos="1050"/>
      </w:tabs>
      <w:spacing w:before="100" w:after="40"/>
      <w:outlineLvl w:val="3"/>
    </w:pPr>
    <w:rPr>
      <w:b w:val="0"/>
    </w:rPr>
  </w:style>
  <w:style w:type="paragraph" w:customStyle="1" w:styleId="34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1">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2">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3">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4">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5">
    <w:name w:val="丁华标题3"/>
    <w:basedOn w:val="346"/>
    <w:next w:val="235"/>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6">
    <w:name w:val="丁华标题2"/>
    <w:basedOn w:val="4"/>
    <w:next w:val="235"/>
    <w:qFormat/>
    <w:uiPriority w:val="0"/>
    <w:pPr>
      <w:numPr>
        <w:ilvl w:val="1"/>
        <w:numId w:val="3"/>
      </w:numPr>
      <w:spacing w:line="413" w:lineRule="auto"/>
    </w:pPr>
    <w:rPr>
      <w:rFonts w:ascii="Arial" w:hAnsi="Arial" w:eastAsia="黑体"/>
      <w:b w:val="0"/>
      <w:sz w:val="28"/>
      <w:szCs w:val="20"/>
    </w:rPr>
  </w:style>
  <w:style w:type="paragraph" w:customStyle="1" w:styleId="347">
    <w:name w:val="修订1"/>
    <w:qFormat/>
    <w:uiPriority w:val="0"/>
    <w:rPr>
      <w:rFonts w:ascii="Times New Roman" w:hAnsi="Times New Roman" w:eastAsia="宋体" w:cs="Times New Roman"/>
      <w:kern w:val="2"/>
      <w:sz w:val="21"/>
      <w:szCs w:val="24"/>
      <w:lang w:val="en-US" w:eastAsia="zh-CN" w:bidi="ar-SA"/>
    </w:rPr>
  </w:style>
  <w:style w:type="paragraph" w:customStyle="1" w:styleId="348">
    <w:name w:val="Char"/>
    <w:basedOn w:val="1"/>
    <w:qFormat/>
    <w:uiPriority w:val="0"/>
    <w:pPr>
      <w:spacing w:afterLines="50" w:line="360" w:lineRule="auto"/>
    </w:pPr>
    <w:rPr>
      <w:rFonts w:ascii="Tahoma" w:hAnsi="Tahoma"/>
      <w:sz w:val="24"/>
    </w:rPr>
  </w:style>
  <w:style w:type="paragraph" w:customStyle="1" w:styleId="349">
    <w:name w:val="项目符号，二级"/>
    <w:basedOn w:val="254"/>
    <w:next w:val="254"/>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0">
    <w:name w:val="_Style 1"/>
    <w:basedOn w:val="1"/>
    <w:qFormat/>
    <w:uiPriority w:val="0"/>
    <w:pPr>
      <w:ind w:firstLine="420" w:firstLineChars="200"/>
    </w:pPr>
    <w:rPr>
      <w:rFonts w:ascii="Calibri" w:hAnsi="Calibri"/>
      <w:szCs w:val="22"/>
    </w:rPr>
  </w:style>
  <w:style w:type="paragraph" w:customStyle="1" w:styleId="351">
    <w:name w:val="Char Char Char Char Char Char Char Char Char Char Char Char Char Char1"/>
    <w:basedOn w:val="1"/>
    <w:qFormat/>
    <w:uiPriority w:val="0"/>
    <w:rPr>
      <w:rFonts w:ascii="Tahoma" w:hAnsi="Tahoma" w:cs="Tahoma"/>
      <w:sz w:val="24"/>
    </w:rPr>
  </w:style>
  <w:style w:type="paragraph" w:customStyle="1" w:styleId="352">
    <w:name w:val="Char Char Char Char Char1"/>
    <w:basedOn w:val="1"/>
    <w:qFormat/>
    <w:uiPriority w:val="0"/>
    <w:rPr>
      <w:rFonts w:ascii="Tahoma" w:hAnsi="Tahoma" w:cs="Tahoma"/>
      <w:sz w:val="24"/>
    </w:rPr>
  </w:style>
  <w:style w:type="paragraph" w:customStyle="1" w:styleId="35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5">
    <w:name w:val="符号与编号"/>
    <w:basedOn w:val="1"/>
    <w:qFormat/>
    <w:uiPriority w:val="0"/>
    <w:pPr>
      <w:tabs>
        <w:tab w:val="left" w:pos="900"/>
      </w:tabs>
      <w:spacing w:afterLines="50" w:line="400" w:lineRule="atLeast"/>
      <w:ind w:left="900" w:hanging="420"/>
    </w:pPr>
    <w:rPr>
      <w:sz w:val="24"/>
      <w:szCs w:val="24"/>
    </w:rPr>
  </w:style>
  <w:style w:type="paragraph" w:customStyle="1" w:styleId="356">
    <w:name w:val="样式1"/>
    <w:basedOn w:val="1"/>
    <w:qFormat/>
    <w:uiPriority w:val="0"/>
    <w:pPr>
      <w:spacing w:line="300" w:lineRule="auto"/>
      <w:ind w:firstLine="480" w:firstLineChars="200"/>
    </w:pPr>
    <w:rPr>
      <w:sz w:val="24"/>
      <w:szCs w:val="24"/>
    </w:rPr>
  </w:style>
  <w:style w:type="paragraph" w:customStyle="1" w:styleId="357">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0">
    <w:name w:val="正文 首行缩进:  2 字符 Char"/>
    <w:basedOn w:val="1"/>
    <w:qFormat/>
    <w:uiPriority w:val="0"/>
    <w:pPr>
      <w:spacing w:line="360" w:lineRule="auto"/>
      <w:ind w:firstLine="480"/>
    </w:pPr>
    <w:rPr>
      <w:rFonts w:cs="宋体"/>
      <w:sz w:val="24"/>
    </w:rPr>
  </w:style>
  <w:style w:type="paragraph" w:customStyle="1" w:styleId="361">
    <w:name w:val="Char2"/>
    <w:basedOn w:val="1"/>
    <w:qFormat/>
    <w:uiPriority w:val="0"/>
    <w:rPr>
      <w:rFonts w:ascii="Tahoma" w:hAnsi="Tahoma" w:cs="仿宋_GB2312"/>
      <w:sz w:val="24"/>
      <w:szCs w:val="28"/>
    </w:rPr>
  </w:style>
  <w:style w:type="paragraph" w:customStyle="1" w:styleId="3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3">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4">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5">
    <w:name w:val="论文正文"/>
    <w:basedOn w:val="35"/>
    <w:qFormat/>
    <w:uiPriority w:val="0"/>
    <w:pPr>
      <w:spacing w:line="360" w:lineRule="auto"/>
      <w:ind w:left="0" w:firstLine="200" w:firstLineChars="200"/>
      <w:jc w:val="left"/>
    </w:pPr>
    <w:rPr>
      <w:sz w:val="28"/>
      <w:szCs w:val="24"/>
    </w:rPr>
  </w:style>
  <w:style w:type="paragraph" w:customStyle="1" w:styleId="366">
    <w:name w:val="列出段落3"/>
    <w:basedOn w:val="1"/>
    <w:qFormat/>
    <w:uiPriority w:val="0"/>
    <w:pPr>
      <w:ind w:firstLine="420" w:firstLineChars="200"/>
    </w:pPr>
    <w:rPr>
      <w:szCs w:val="24"/>
    </w:rPr>
  </w:style>
  <w:style w:type="paragraph" w:customStyle="1" w:styleId="367">
    <w:name w:val="丁华标题1"/>
    <w:basedOn w:val="3"/>
    <w:next w:val="235"/>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8">
    <w:name w:val="插图"/>
    <w:basedOn w:val="1"/>
    <w:qFormat/>
    <w:uiPriority w:val="0"/>
    <w:pPr>
      <w:tabs>
        <w:tab w:val="left" w:pos="1620"/>
      </w:tabs>
      <w:adjustRightInd w:val="0"/>
      <w:jc w:val="center"/>
    </w:pPr>
    <w:rPr>
      <w:bCs/>
      <w:color w:val="000000"/>
      <w:szCs w:val="22"/>
    </w:rPr>
  </w:style>
  <w:style w:type="paragraph" w:customStyle="1" w:styleId="369">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1">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2">
    <w:name w:val="标题2，章节第二层"/>
    <w:basedOn w:val="1"/>
    <w:next w:val="254"/>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3">
    <w:name w:val="样式 标题 3H3sect1.2.3BOD 0Heading 3 - oldh3l3CTLevel 3 Head..."/>
    <w:basedOn w:val="9"/>
    <w:qFormat/>
    <w:uiPriority w:val="0"/>
    <w:pPr>
      <w:spacing w:beforeLines="50" w:afterLines="50"/>
      <w:jc w:val="left"/>
    </w:pPr>
    <w:rPr>
      <w:rFonts w:cs="宋体"/>
      <w:bCs/>
      <w:sz w:val="30"/>
    </w:rPr>
  </w:style>
  <w:style w:type="paragraph" w:customStyle="1" w:styleId="374">
    <w:name w:val="Char Char Char Char Char Char Char Char Char Char Char1"/>
    <w:basedOn w:val="1"/>
    <w:qFormat/>
    <w:uiPriority w:val="0"/>
    <w:rPr>
      <w:rFonts w:ascii="Tahoma" w:hAnsi="Tahoma"/>
      <w:sz w:val="24"/>
    </w:rPr>
  </w:style>
  <w:style w:type="paragraph" w:customStyle="1" w:styleId="375">
    <w:name w:val="tableau"/>
    <w:basedOn w:val="1"/>
    <w:qFormat/>
    <w:uiPriority w:val="0"/>
    <w:pPr>
      <w:widowControl/>
      <w:spacing w:before="20" w:after="20"/>
      <w:jc w:val="center"/>
    </w:pPr>
    <w:rPr>
      <w:rFonts w:ascii="Arial" w:hAnsi="Arial"/>
      <w:kern w:val="0"/>
      <w:sz w:val="16"/>
      <w:lang w:val="en-GB" w:eastAsia="en-US"/>
    </w:rPr>
  </w:style>
  <w:style w:type="paragraph" w:customStyle="1" w:styleId="376">
    <w:name w:val="font14"/>
    <w:basedOn w:val="1"/>
    <w:qFormat/>
    <w:uiPriority w:val="0"/>
    <w:pPr>
      <w:widowControl/>
      <w:spacing w:before="100" w:beforeAutospacing="1" w:after="100" w:afterAutospacing="1"/>
      <w:jc w:val="left"/>
    </w:pPr>
    <w:rPr>
      <w:kern w:val="0"/>
      <w:sz w:val="36"/>
      <w:szCs w:val="36"/>
    </w:rPr>
  </w:style>
  <w:style w:type="paragraph" w:customStyle="1" w:styleId="377">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8">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79">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2">
    <w:name w:val="Char Char Char Char Char Char Char Char Char Char Char Char Char Char Char Char Char Char Char Char Char Char Char"/>
    <w:basedOn w:val="1"/>
    <w:qFormat/>
    <w:uiPriority w:val="0"/>
    <w:rPr>
      <w:rFonts w:ascii="Tahoma" w:hAnsi="Tahoma"/>
      <w:sz w:val="24"/>
    </w:rPr>
  </w:style>
  <w:style w:type="paragraph" w:customStyle="1" w:styleId="383">
    <w:name w:val="Default Text"/>
    <w:basedOn w:val="1"/>
    <w:qFormat/>
    <w:uiPriority w:val="0"/>
    <w:pPr>
      <w:widowControl/>
      <w:jc w:val="left"/>
    </w:pPr>
    <w:rPr>
      <w:kern w:val="0"/>
      <w:sz w:val="24"/>
      <w:lang w:eastAsia="en-US"/>
    </w:rPr>
  </w:style>
  <w:style w:type="paragraph" w:customStyle="1" w:styleId="3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5">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6">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8">
    <w:name w:val="二级条标题"/>
    <w:basedOn w:val="1"/>
    <w:next w:val="248"/>
    <w:qFormat/>
    <w:uiPriority w:val="0"/>
    <w:pPr>
      <w:widowControl/>
      <w:tabs>
        <w:tab w:val="left" w:pos="2240"/>
      </w:tabs>
      <w:ind w:hanging="420"/>
      <w:outlineLvl w:val="3"/>
    </w:pPr>
    <w:rPr>
      <w:rFonts w:eastAsia="黑体"/>
      <w:kern w:val="0"/>
    </w:rPr>
  </w:style>
  <w:style w:type="paragraph" w:customStyle="1" w:styleId="389">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0">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1">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2">
    <w:name w:val="正文 + 宋体"/>
    <w:basedOn w:val="1"/>
    <w:qFormat/>
    <w:uiPriority w:val="0"/>
    <w:pPr>
      <w:spacing w:line="360" w:lineRule="auto"/>
      <w:ind w:firstLine="420" w:firstLineChars="200"/>
    </w:pPr>
    <w:rPr>
      <w:szCs w:val="24"/>
    </w:rPr>
  </w:style>
  <w:style w:type="paragraph" w:customStyle="1" w:styleId="393">
    <w:name w:val="Char Char Char Char Char Char Char Char1"/>
    <w:basedOn w:val="1"/>
    <w:qFormat/>
    <w:uiPriority w:val="0"/>
    <w:rPr>
      <w:rFonts w:ascii="Tahoma" w:hAnsi="Tahoma" w:cs="Tahoma"/>
      <w:sz w:val="24"/>
    </w:rPr>
  </w:style>
  <w:style w:type="paragraph" w:customStyle="1" w:styleId="394">
    <w:name w:val="Char Char Char Char1"/>
    <w:basedOn w:val="22"/>
    <w:qFormat/>
    <w:uiPriority w:val="0"/>
    <w:pPr>
      <w:adjustRightInd w:val="0"/>
      <w:snapToGrid w:val="0"/>
      <w:spacing w:line="360" w:lineRule="auto"/>
    </w:pPr>
    <w:rPr>
      <w:rFonts w:ascii="Tahoma" w:hAnsi="Tahoma"/>
      <w:sz w:val="24"/>
      <w:szCs w:val="24"/>
    </w:rPr>
  </w:style>
  <w:style w:type="paragraph" w:customStyle="1" w:styleId="395">
    <w:name w:val="正文1"/>
    <w:basedOn w:val="1"/>
    <w:qFormat/>
    <w:uiPriority w:val="0"/>
    <w:rPr>
      <w:rFonts w:ascii="Calibri" w:hAnsi="Calibri" w:eastAsia="Times New Roman" w:cs="宋体"/>
      <w:kern w:val="0"/>
      <w:lang w:val="zh-CN"/>
    </w:rPr>
  </w:style>
  <w:style w:type="paragraph" w:customStyle="1" w:styleId="396">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8">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399">
    <w:name w:val="Normal1"/>
    <w:basedOn w:val="1"/>
    <w:qFormat/>
    <w:uiPriority w:val="0"/>
    <w:rPr>
      <w:rFonts w:ascii="Calibri" w:hAnsi="Calibri" w:eastAsia="Times New Roman" w:cs="宋体"/>
      <w:kern w:val="0"/>
      <w:lang w:val="zh-CN"/>
    </w:rPr>
  </w:style>
  <w:style w:type="paragraph" w:customStyle="1" w:styleId="400">
    <w:name w:val="纯文本1"/>
    <w:basedOn w:val="1"/>
    <w:qFormat/>
    <w:uiPriority w:val="0"/>
    <w:pPr>
      <w:adjustRightInd w:val="0"/>
      <w:textAlignment w:val="baseline"/>
    </w:pPr>
    <w:rPr>
      <w:rFonts w:ascii="宋体" w:hAnsi="宋体" w:eastAsia="楷体_GB2312" w:cs="宋体"/>
      <w:sz w:val="28"/>
    </w:rPr>
  </w:style>
  <w:style w:type="paragraph" w:customStyle="1" w:styleId="401">
    <w:name w:val="正文lzq"/>
    <w:basedOn w:val="1"/>
    <w:qFormat/>
    <w:uiPriority w:val="0"/>
    <w:pPr>
      <w:adjustRightInd w:val="0"/>
      <w:spacing w:line="360" w:lineRule="auto"/>
      <w:ind w:firstLine="480"/>
      <w:textAlignment w:val="baseline"/>
    </w:pPr>
    <w:rPr>
      <w:kern w:val="0"/>
      <w:sz w:val="24"/>
    </w:rPr>
  </w:style>
  <w:style w:type="paragraph" w:customStyle="1" w:styleId="402">
    <w:name w:val="列表内容"/>
    <w:basedOn w:val="1"/>
    <w:next w:val="1"/>
    <w:qFormat/>
    <w:uiPriority w:val="0"/>
    <w:pPr>
      <w:widowControl/>
      <w:tabs>
        <w:tab w:val="left" w:pos="840"/>
      </w:tabs>
      <w:ind w:left="840" w:hanging="420"/>
      <w:jc w:val="left"/>
    </w:pPr>
    <w:rPr>
      <w:kern w:val="0"/>
      <w:sz w:val="18"/>
      <w:szCs w:val="24"/>
    </w:rPr>
  </w:style>
  <w:style w:type="paragraph" w:customStyle="1" w:styleId="403">
    <w:name w:val="Char Char Char Char Char Char Char Char Char Char Char Char Char Char Char Char Char Char Char Char Char"/>
    <w:basedOn w:val="1"/>
    <w:qFormat/>
    <w:uiPriority w:val="0"/>
    <w:rPr>
      <w:rFonts w:ascii="Tahoma" w:hAnsi="Tahoma"/>
      <w:sz w:val="24"/>
    </w:rPr>
  </w:style>
  <w:style w:type="paragraph" w:customStyle="1" w:styleId="404">
    <w:name w:val="Char Char Char"/>
    <w:basedOn w:val="1"/>
    <w:qFormat/>
    <w:uiPriority w:val="0"/>
    <w:rPr>
      <w:rFonts w:ascii="Tahoma" w:hAnsi="Tahoma"/>
      <w:sz w:val="24"/>
    </w:rPr>
  </w:style>
  <w:style w:type="paragraph" w:customStyle="1" w:styleId="40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6">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8">
    <w:name w:val="公文标题 2"/>
    <w:basedOn w:val="1"/>
    <w:next w:val="338"/>
    <w:qFormat/>
    <w:uiPriority w:val="0"/>
    <w:pPr>
      <w:outlineLvl w:val="1"/>
    </w:pPr>
    <w:rPr>
      <w:rFonts w:ascii="仿宋_GB2312" w:hAnsi="宋体" w:eastAsia="仿宋_GB2312"/>
      <w:kern w:val="28"/>
      <w:sz w:val="28"/>
      <w:szCs w:val="24"/>
    </w:rPr>
  </w:style>
  <w:style w:type="paragraph" w:customStyle="1" w:styleId="409">
    <w:name w:val="文档正文"/>
    <w:basedOn w:val="1"/>
    <w:qFormat/>
    <w:uiPriority w:val="0"/>
    <w:pPr>
      <w:spacing w:line="360" w:lineRule="auto"/>
    </w:pPr>
    <w:rPr>
      <w:rFonts w:ascii="宋体" w:hAnsi="宋体"/>
      <w:b/>
      <w:bCs/>
      <w:szCs w:val="24"/>
    </w:rPr>
  </w:style>
  <w:style w:type="paragraph" w:customStyle="1" w:styleId="410">
    <w:name w:val="Char Char Char Char Char Char Char Char Char Char Char"/>
    <w:basedOn w:val="1"/>
    <w:qFormat/>
    <w:uiPriority w:val="0"/>
    <w:rPr>
      <w:rFonts w:ascii="Tahoma" w:hAnsi="Tahoma" w:cs="Tahoma"/>
      <w:sz w:val="24"/>
    </w:rPr>
  </w:style>
  <w:style w:type="paragraph" w:customStyle="1" w:styleId="411">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2">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3">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4">
    <w:name w:val="批注文字 Char1"/>
    <w:basedOn w:val="63"/>
    <w:semiHidden/>
    <w:qFormat/>
    <w:uiPriority w:val="99"/>
    <w:rPr>
      <w:rFonts w:ascii="Times New Roman" w:hAnsi="Times New Roman" w:eastAsia="宋体" w:cs="Times New Roman"/>
      <w:szCs w:val="24"/>
    </w:rPr>
  </w:style>
  <w:style w:type="paragraph" w:styleId="415">
    <w:name w:val="List Paragraph"/>
    <w:basedOn w:val="1"/>
    <w:qFormat/>
    <w:uiPriority w:val="99"/>
    <w:pPr>
      <w:ind w:firstLine="420" w:firstLineChars="200"/>
    </w:pPr>
    <w:rPr>
      <w:szCs w:val="24"/>
    </w:rPr>
  </w:style>
  <w:style w:type="paragraph" w:customStyle="1" w:styleId="416">
    <w:name w:val="_Style 3"/>
    <w:basedOn w:val="1"/>
    <w:next w:val="415"/>
    <w:qFormat/>
    <w:uiPriority w:val="34"/>
    <w:pPr>
      <w:ind w:firstLine="420" w:firstLineChars="200"/>
    </w:pPr>
    <w:rPr>
      <w:szCs w:val="22"/>
    </w:rPr>
  </w:style>
  <w:style w:type="paragraph" w:customStyle="1" w:styleId="417">
    <w:name w:val="Table Paragraph"/>
    <w:basedOn w:val="1"/>
    <w:qFormat/>
    <w:uiPriority w:val="1"/>
  </w:style>
  <w:style w:type="paragraph" w:customStyle="1" w:styleId="418">
    <w:name w:val="模板普通正文"/>
    <w:basedOn w:val="7"/>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6037F-C6E6-4FD0-A231-3EB2025AF4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18901</Words>
  <Characters>20488</Characters>
  <Lines>189</Lines>
  <Paragraphs>53</Paragraphs>
  <TotalTime>122</TotalTime>
  <ScaleCrop>false</ScaleCrop>
  <LinksUpToDate>false</LinksUpToDate>
  <CharactersWithSpaces>23917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2022-08-17T01:57:00Z</dcterms:created>
  <dc:creator>Windows 用户</dc:creator>
  <cp:lastModifiedBy>随便</cp:lastModifiedBy>
  <cp:lastPrinted>2023-05-06T01:20:00Z</cp:lastPrinted>
  <dcterms:modified xsi:type="dcterms:W3CDTF">2023-05-17T00:05:09Z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7B5DA57B785B4AC4A9531542247B8332</vt:lpwstr>
  </property>
</Properties>
</file>