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jc w:val="center"/>
        <w:outlineLvl w:val="0"/>
        <w:rPr>
          <w:rFonts w:ascii="宋体" w:cs="宋体"/>
          <w:b/>
          <w:color w:val="000000"/>
          <w:kern w:val="0"/>
          <w:sz w:val="36"/>
          <w:szCs w:val="36"/>
          <w:highlight w:val="none"/>
        </w:rPr>
      </w:pPr>
      <w:bookmarkStart w:id="0" w:name="_GoBack"/>
      <w:bookmarkEnd w:id="0"/>
      <w:r>
        <w:rPr>
          <w:rFonts w:hint="eastAsia" w:ascii="仿宋" w:hAnsi="仿宋"/>
          <w:b/>
          <w:kern w:val="0"/>
          <w:sz w:val="44"/>
          <w:szCs w:val="44"/>
          <w:highlight w:val="none"/>
        </w:rPr>
        <w:t>招标需求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/>
          <w:b/>
          <w:bCs/>
          <w:kern w:val="0"/>
          <w:sz w:val="24"/>
          <w:highlight w:val="none"/>
        </w:rPr>
      </w:pPr>
      <w:r>
        <w:rPr>
          <w:rFonts w:hint="eastAsia" w:ascii="宋体" w:hAnsi="宋体"/>
          <w:b/>
          <w:bCs/>
          <w:kern w:val="0"/>
          <w:sz w:val="24"/>
          <w:highlight w:val="none"/>
        </w:rPr>
        <w:t>一、项目内容</w:t>
      </w:r>
    </w:p>
    <w:p>
      <w:pPr>
        <w:pStyle w:val="6"/>
        <w:keepNext w:val="0"/>
        <w:keepLines w:val="0"/>
        <w:pageBreakBefore w:val="0"/>
        <w:widowControl w:val="0"/>
        <w:tabs>
          <w:tab w:val="left" w:pos="567"/>
        </w:tabs>
        <w:kinsoku/>
        <w:wordWrap/>
        <w:overflowPunct/>
        <w:topLinePunct w:val="0"/>
        <w:bidi w:val="0"/>
        <w:snapToGrid/>
        <w:spacing w:before="1" w:line="360" w:lineRule="auto"/>
        <w:ind w:right="101" w:firstLine="480" w:firstLineChars="200"/>
        <w:jc w:val="left"/>
        <w:rPr>
          <w:sz w:val="24"/>
          <w:szCs w:val="24"/>
          <w:highlight w:val="none"/>
        </w:rPr>
      </w:pPr>
      <w:r>
        <w:rPr>
          <w:rFonts w:hint="eastAsia" w:ascii="宋体" w:hAnsi="宋体"/>
          <w:kern w:val="0"/>
          <w:sz w:val="24"/>
          <w:szCs w:val="24"/>
          <w:highlight w:val="none"/>
        </w:rPr>
        <w:t>安庆</w:t>
      </w:r>
      <w:r>
        <w:rPr>
          <w:rFonts w:hint="eastAsia"/>
          <w:kern w:val="0"/>
          <w:sz w:val="24"/>
          <w:szCs w:val="24"/>
          <w:highlight w:val="none"/>
        </w:rPr>
        <w:t>经开区公安分局</w:t>
      </w:r>
      <w:r>
        <w:rPr>
          <w:rFonts w:ascii="宋体" w:hAnsi="宋体"/>
          <w:kern w:val="0"/>
          <w:sz w:val="24"/>
          <w:szCs w:val="24"/>
          <w:highlight w:val="none"/>
        </w:rPr>
        <w:t>1</w:t>
      </w:r>
      <w:r>
        <w:rPr>
          <w:rFonts w:hint="eastAsia" w:ascii="宋体" w:hAnsi="宋体"/>
          <w:kern w:val="0"/>
          <w:sz w:val="24"/>
          <w:szCs w:val="24"/>
          <w:highlight w:val="none"/>
        </w:rPr>
        <w:t>座</w:t>
      </w:r>
      <w:r>
        <w:rPr>
          <w:rFonts w:ascii="宋体" w:hAnsi="宋体"/>
          <w:kern w:val="0"/>
          <w:sz w:val="24"/>
          <w:szCs w:val="24"/>
          <w:highlight w:val="none"/>
        </w:rPr>
        <w:t>7</w:t>
      </w:r>
      <w:r>
        <w:rPr>
          <w:rFonts w:hint="eastAsia" w:ascii="宋体" w:hAnsi="宋体"/>
          <w:kern w:val="0"/>
          <w:sz w:val="24"/>
          <w:szCs w:val="24"/>
          <w:highlight w:val="none"/>
        </w:rPr>
        <w:t>层办公楼，现需在新建的办公楼安装无机房电梯</w:t>
      </w:r>
      <w:r>
        <w:rPr>
          <w:rFonts w:ascii="宋体" w:hAnsi="宋体"/>
          <w:kern w:val="0"/>
          <w:sz w:val="24"/>
          <w:szCs w:val="24"/>
          <w:highlight w:val="none"/>
        </w:rPr>
        <w:t>1</w:t>
      </w:r>
      <w:r>
        <w:rPr>
          <w:rFonts w:hint="eastAsia" w:ascii="宋体" w:hAnsi="宋体"/>
          <w:kern w:val="0"/>
          <w:sz w:val="24"/>
          <w:szCs w:val="24"/>
          <w:highlight w:val="none"/>
        </w:rPr>
        <w:t>部</w:t>
      </w:r>
      <w:r>
        <w:rPr>
          <w:rFonts w:hint="eastAsia"/>
          <w:sz w:val="24"/>
          <w:szCs w:val="24"/>
          <w:highlight w:val="none"/>
        </w:rPr>
        <w:t>；</w:t>
      </w:r>
    </w:p>
    <w:p>
      <w:pPr>
        <w:pStyle w:val="6"/>
        <w:keepNext w:val="0"/>
        <w:keepLines w:val="0"/>
        <w:pageBreakBefore w:val="0"/>
        <w:widowControl w:val="0"/>
        <w:tabs>
          <w:tab w:val="left" w:pos="567"/>
        </w:tabs>
        <w:kinsoku/>
        <w:wordWrap/>
        <w:overflowPunct/>
        <w:topLinePunct w:val="0"/>
        <w:bidi w:val="0"/>
        <w:snapToGrid/>
        <w:spacing w:before="1" w:line="360" w:lineRule="auto"/>
        <w:ind w:right="101" w:firstLine="480" w:firstLineChars="200"/>
        <w:jc w:val="left"/>
        <w:rPr>
          <w:rFonts w:cs="宋体"/>
          <w:sz w:val="24"/>
          <w:szCs w:val="24"/>
          <w:highlight w:val="none"/>
        </w:rPr>
      </w:pPr>
      <w:r>
        <w:rPr>
          <w:rFonts w:hint="eastAsia" w:cs="宋体"/>
          <w:sz w:val="24"/>
          <w:szCs w:val="24"/>
          <w:highlight w:val="none"/>
        </w:rPr>
        <w:t>招标范围包括但不限于电梯的供货、包装运输、安装、吊装、调试、试运行、质量技术监督局检测、取证（安徽省颁发的电梯验收合格证书、使用许可证）、质监站验收、移交、售后服务、培训、维修保养等一系列内容，属于“交钥匙”工程；</w:t>
      </w:r>
    </w:p>
    <w:p>
      <w:pPr>
        <w:pStyle w:val="6"/>
        <w:keepNext w:val="0"/>
        <w:keepLines w:val="0"/>
        <w:pageBreakBefore w:val="0"/>
        <w:widowControl w:val="0"/>
        <w:tabs>
          <w:tab w:val="left" w:pos="567"/>
        </w:tabs>
        <w:kinsoku/>
        <w:wordWrap/>
        <w:overflowPunct/>
        <w:topLinePunct w:val="0"/>
        <w:bidi w:val="0"/>
        <w:snapToGrid/>
        <w:spacing w:before="1" w:line="360" w:lineRule="auto"/>
        <w:ind w:right="101" w:firstLine="482" w:firstLineChars="200"/>
        <w:jc w:val="left"/>
        <w:rPr>
          <w:rFonts w:cs="宋体"/>
          <w:b/>
          <w:bCs/>
          <w:sz w:val="24"/>
          <w:szCs w:val="24"/>
          <w:highlight w:val="none"/>
        </w:rPr>
      </w:pPr>
      <w:r>
        <w:rPr>
          <w:rFonts w:hint="eastAsia" w:cs="宋体"/>
          <w:b/>
          <w:bCs/>
          <w:sz w:val="24"/>
          <w:szCs w:val="24"/>
          <w:highlight w:val="none"/>
        </w:rPr>
        <w:t>安装范围包括但不限于基坑及井道尺寸的现场复核、井道修正、所有设备就位，安装，系统集成，调试，整个工程竣工验收合格后至交付使用前所发生的，与安装工程相关的各种保险、施工现场装卸、检测、验收、安装、调试及必要的井道整改（包含井道尺寸偏大所需增加支架等处理措施费用）、配合工程其他设备的整体联动调试（井道照明、脚手架、牛腿、基坑爬梯、水电费、辅助费用）等一切费用，含电梯轿箱内预留闭路监控摄像机位置以及内部穿线，同时五方对讲，基坑、轿厢顶、轿厢内、电梯控制柜及监控室话机全部由电梯厂家负责完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/>
          <w:b/>
          <w:bCs/>
          <w:sz w:val="28"/>
          <w:szCs w:val="28"/>
          <w:highlight w:val="none"/>
        </w:rPr>
      </w:pPr>
      <w:r>
        <w:rPr>
          <w:rFonts w:hint="eastAsia" w:ascii="宋体" w:hAnsi="宋体"/>
          <w:b/>
          <w:bCs/>
          <w:kern w:val="0"/>
          <w:sz w:val="24"/>
          <w:highlight w:val="none"/>
        </w:rPr>
        <w:t>二、技术服务要求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rPr>
          <w:rFonts w:ascii="宋体" w:cs="宋体"/>
          <w:sz w:val="24"/>
          <w:szCs w:val="24"/>
          <w:highlight w:val="none"/>
        </w:rPr>
      </w:pPr>
      <w:r>
        <w:rPr>
          <w:rFonts w:ascii="宋体" w:hAnsi="宋体" w:cs="宋体"/>
          <w:sz w:val="24"/>
          <w:szCs w:val="24"/>
          <w:highlight w:val="none"/>
        </w:rPr>
        <w:t>1</w:t>
      </w:r>
      <w:r>
        <w:rPr>
          <w:rFonts w:hint="eastAsia" w:ascii="宋体" w:hAnsi="宋体" w:cs="宋体"/>
          <w:sz w:val="24"/>
          <w:szCs w:val="24"/>
          <w:highlight w:val="none"/>
        </w:rPr>
        <w:t>、投标人的投标文件必须标明所投货物的品牌与参数，保证原厂正品供货，提供相关资料等。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rPr>
          <w:rFonts w:ascii="宋体" w:cs="宋体"/>
          <w:sz w:val="24"/>
          <w:szCs w:val="24"/>
          <w:highlight w:val="none"/>
        </w:rPr>
      </w:pPr>
      <w:r>
        <w:rPr>
          <w:rFonts w:ascii="宋体" w:hAnsi="宋体" w:cs="宋体"/>
          <w:sz w:val="24"/>
          <w:szCs w:val="24"/>
          <w:highlight w:val="none"/>
        </w:rPr>
        <w:t>2</w:t>
      </w:r>
      <w:r>
        <w:rPr>
          <w:rFonts w:hint="eastAsia" w:ascii="宋体" w:hAnsi="宋体" w:cs="宋体"/>
          <w:sz w:val="24"/>
          <w:szCs w:val="24"/>
          <w:highlight w:val="none"/>
        </w:rPr>
        <w:t>、投标人应自行实地踏勘现场，若中标后遇有图纸与现场不一致的，以现场实际情况为准。</w:t>
      </w:r>
      <w:r>
        <w:rPr>
          <w:rFonts w:hint="eastAsia"/>
          <w:sz w:val="24"/>
          <w:szCs w:val="32"/>
          <w:highlight w:val="none"/>
        </w:rPr>
        <w:t>电梯井道尺寸以土建图纸及现场尺寸为准。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rPr>
          <w:rFonts w:ascii="宋体" w:cs="宋体"/>
          <w:sz w:val="24"/>
          <w:szCs w:val="24"/>
          <w:highlight w:val="none"/>
        </w:rPr>
      </w:pPr>
      <w:r>
        <w:rPr>
          <w:rFonts w:ascii="宋体" w:hAnsi="宋体" w:cs="宋体"/>
          <w:sz w:val="24"/>
          <w:szCs w:val="24"/>
          <w:highlight w:val="none"/>
        </w:rPr>
        <w:t>3</w:t>
      </w:r>
      <w:r>
        <w:rPr>
          <w:rFonts w:hint="eastAsia" w:ascii="宋体" w:hAnsi="宋体" w:cs="宋体"/>
          <w:sz w:val="24"/>
          <w:szCs w:val="24"/>
          <w:highlight w:val="none"/>
        </w:rPr>
        <w:t>、设备的验收、质保期及售后服务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left="900" w:leftChars="200" w:hanging="480" w:hangingChars="200"/>
        <w:rPr>
          <w:rFonts w:ascii="宋体" w:cs="宋体"/>
          <w:sz w:val="24"/>
          <w:szCs w:val="24"/>
          <w:highlight w:val="none"/>
        </w:rPr>
      </w:pPr>
      <w:r>
        <w:rPr>
          <w:rFonts w:ascii="宋体" w:hAnsi="宋体" w:cs="宋体"/>
          <w:sz w:val="24"/>
          <w:szCs w:val="24"/>
          <w:highlight w:val="none"/>
        </w:rPr>
        <w:t xml:space="preserve">3.1 </w:t>
      </w:r>
      <w:r>
        <w:rPr>
          <w:rFonts w:hint="eastAsia" w:ascii="宋体" w:hAnsi="宋体" w:cs="宋体"/>
          <w:sz w:val="24"/>
          <w:szCs w:val="24"/>
          <w:highlight w:val="none"/>
        </w:rPr>
        <w:t>设备由中标方安装完毕后，中标方请技术监督部门进行验收，以技术监督部门验收合格，颁发准用证为准。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left="900" w:leftChars="200" w:hanging="480" w:hangingChars="200"/>
        <w:rPr>
          <w:sz w:val="24"/>
          <w:szCs w:val="32"/>
          <w:highlight w:val="none"/>
        </w:rPr>
      </w:pPr>
      <w:r>
        <w:rPr>
          <w:rFonts w:ascii="宋体" w:hAnsi="宋体" w:cs="宋体"/>
          <w:sz w:val="24"/>
          <w:highlight w:val="none"/>
        </w:rPr>
        <w:t xml:space="preserve">3.2 </w:t>
      </w:r>
      <w:r>
        <w:rPr>
          <w:rFonts w:hint="eastAsia"/>
          <w:sz w:val="24"/>
          <w:szCs w:val="32"/>
          <w:highlight w:val="none"/>
        </w:rPr>
        <w:t>质保期两年（具体以投标人投标承诺期限为准，但不得低于</w:t>
      </w:r>
      <w:r>
        <w:rPr>
          <w:sz w:val="24"/>
          <w:szCs w:val="32"/>
          <w:highlight w:val="none"/>
        </w:rPr>
        <w:t>2</w:t>
      </w:r>
      <w:r>
        <w:rPr>
          <w:rFonts w:hint="eastAsia"/>
          <w:sz w:val="24"/>
          <w:szCs w:val="32"/>
          <w:highlight w:val="none"/>
        </w:rPr>
        <w:t>年），质保期自检测验收合格交付使用之日起，</w:t>
      </w:r>
      <w:r>
        <w:rPr>
          <w:rFonts w:hint="eastAsia" w:ascii="宋体" w:hAnsi="宋体" w:cs="宋体"/>
          <w:sz w:val="24"/>
          <w:highlight w:val="none"/>
        </w:rPr>
        <w:t>质保期内出现质量问题，免费维修或更换元器件。</w:t>
      </w:r>
      <w:r>
        <w:rPr>
          <w:rFonts w:hint="eastAsia"/>
          <w:sz w:val="24"/>
          <w:szCs w:val="32"/>
          <w:highlight w:val="none"/>
        </w:rPr>
        <w:t>请投标人报价时考虑相关费用。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left="900" w:leftChars="200" w:hanging="480" w:hangingChars="200"/>
        <w:rPr>
          <w:rFonts w:ascii="宋体" w:cs="宋体"/>
          <w:sz w:val="24"/>
          <w:highlight w:val="none"/>
        </w:rPr>
      </w:pPr>
      <w:r>
        <w:rPr>
          <w:rFonts w:ascii="宋体" w:hAnsi="宋体" w:cs="宋体"/>
          <w:sz w:val="24"/>
          <w:highlight w:val="none"/>
        </w:rPr>
        <w:t xml:space="preserve">3.3 </w:t>
      </w:r>
      <w:r>
        <w:rPr>
          <w:rFonts w:hint="eastAsia" w:ascii="宋体" w:hAnsi="宋体" w:cs="宋体"/>
          <w:sz w:val="24"/>
          <w:highlight w:val="none"/>
        </w:rPr>
        <w:t>质保期过后，可以优惠价格为用户提供长期的售后服务。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left="0" w:leftChars="0" w:firstLine="31680"/>
        <w:rPr>
          <w:rFonts w:ascii="宋体" w:cs="宋体"/>
          <w:sz w:val="24"/>
          <w:highlight w:val="none"/>
        </w:rPr>
      </w:pPr>
      <w:r>
        <w:rPr>
          <w:rFonts w:ascii="宋体" w:hAnsi="宋体" w:cs="宋体"/>
          <w:sz w:val="24"/>
          <w:highlight w:val="none"/>
        </w:rPr>
        <w:t>4</w:t>
      </w:r>
      <w:r>
        <w:rPr>
          <w:rFonts w:hint="eastAsia" w:ascii="宋体" w:hAnsi="宋体" w:cs="宋体"/>
          <w:sz w:val="24"/>
          <w:highlight w:val="none"/>
        </w:rPr>
        <w:t>、招标人保留在签订合同之前对本技术规格及要求补充和修改的权利，投标人应承诺予以配合。如提出修改，具体事项另行商定。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宋体" w:hAnsi="宋体" w:cs="Arial"/>
          <w:b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eastAsia" w:ascii="宋体" w:hAnsi="宋体" w:cs="Arial"/>
          <w:b/>
          <w:bCs/>
          <w:color w:val="000000"/>
          <w:sz w:val="24"/>
          <w:szCs w:val="24"/>
          <w:highlight w:val="none"/>
        </w:rPr>
        <w:t>三、</w:t>
      </w:r>
      <w:r>
        <w:rPr>
          <w:rFonts w:hint="eastAsia" w:ascii="宋体" w:hAnsi="宋体" w:cs="Arial"/>
          <w:b/>
          <w:bCs/>
          <w:color w:val="000000"/>
          <w:sz w:val="24"/>
          <w:szCs w:val="24"/>
          <w:highlight w:val="none"/>
          <w:lang w:eastAsia="zh-CN"/>
        </w:rPr>
        <w:t>其他要求：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宋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cs="Arial"/>
          <w:b w:val="0"/>
          <w:bCs w:val="0"/>
          <w:color w:val="auto"/>
          <w:sz w:val="24"/>
          <w:szCs w:val="24"/>
          <w:highlight w:val="none"/>
          <w:lang w:val="en-US" w:eastAsia="zh-CN"/>
        </w:rPr>
        <w:t>电梯安装完成满足使用条件后，须先行提供给施工单位使用。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40" w:lineRule="exact"/>
        <w:rPr>
          <w:rFonts w:ascii="宋体" w:cs="Arial"/>
          <w:b/>
          <w:color w:val="000000"/>
          <w:sz w:val="24"/>
          <w:szCs w:val="24"/>
          <w:highlight w:val="none"/>
        </w:rPr>
      </w:pPr>
      <w:r>
        <w:rPr>
          <w:rFonts w:hint="eastAsia" w:ascii="宋体" w:hAnsi="宋体" w:cs="Arial"/>
          <w:b/>
          <w:bCs/>
          <w:color w:val="000000"/>
          <w:sz w:val="24"/>
          <w:szCs w:val="24"/>
          <w:highlight w:val="none"/>
          <w:lang w:eastAsia="zh-CN"/>
        </w:rPr>
        <w:t>四、</w:t>
      </w:r>
      <w:r>
        <w:rPr>
          <w:rFonts w:hint="eastAsia" w:ascii="宋体" w:hAnsi="宋体" w:cs="Arial"/>
          <w:b/>
          <w:bCs/>
          <w:color w:val="000000"/>
          <w:sz w:val="24"/>
          <w:szCs w:val="24"/>
          <w:highlight w:val="none"/>
        </w:rPr>
        <w:t>电梯技术参数</w:t>
      </w:r>
    </w:p>
    <w:tbl>
      <w:tblPr>
        <w:tblStyle w:val="9"/>
        <w:tblW w:w="8524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4"/>
        <w:gridCol w:w="3481"/>
        <w:gridCol w:w="383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4685" w:type="dxa"/>
            <w:gridSpan w:val="2"/>
            <w:tcBorders>
              <w:top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/>
                <w:color w:val="000000"/>
                <w:szCs w:val="21"/>
                <w:highlight w:val="none"/>
              </w:rPr>
              <w:t>项</w:t>
            </w:r>
            <w:r>
              <w:rPr>
                <w:rFonts w:ascii="宋体" w:hAnsi="宋体" w:cs="宋体"/>
                <w:b/>
                <w:color w:val="000000"/>
                <w:szCs w:val="21"/>
                <w:highlight w:val="none"/>
              </w:rPr>
              <w:t xml:space="preserve">    </w:t>
            </w:r>
            <w:r>
              <w:rPr>
                <w:rFonts w:hint="eastAsia" w:ascii="宋体" w:hAnsi="宋体" w:cs="宋体"/>
                <w:b/>
                <w:color w:val="000000"/>
                <w:szCs w:val="21"/>
                <w:highlight w:val="none"/>
              </w:rPr>
              <w:t>目</w:t>
            </w:r>
          </w:p>
        </w:tc>
        <w:tc>
          <w:tcPr>
            <w:tcW w:w="3839" w:type="dxa"/>
            <w:tcBorders>
              <w:top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b/>
                <w:color w:val="00000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/>
                <w:color w:val="000000"/>
                <w:szCs w:val="21"/>
                <w:highlight w:val="none"/>
              </w:rPr>
              <w:t>技术规格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atLeast"/>
          <w:jc w:val="center"/>
        </w:trPr>
        <w:tc>
          <w:tcPr>
            <w:tcW w:w="1204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技术规格</w:t>
            </w: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梯</w:t>
            </w:r>
            <w:r>
              <w:rPr>
                <w:rFonts w:ascii="宋体" w:hAnsi="宋体" w:cs="宋体"/>
                <w:color w:val="000000"/>
                <w:szCs w:val="21"/>
                <w:highlight w:val="none"/>
              </w:rPr>
              <w:t xml:space="preserve">    </w:t>
            </w: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型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无机房乘客电梯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atLeast"/>
          <w:jc w:val="center"/>
        </w:trPr>
        <w:tc>
          <w:tcPr>
            <w:tcW w:w="12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数</w:t>
            </w:r>
            <w:r>
              <w:rPr>
                <w:rFonts w:ascii="宋体" w:hAnsi="宋体" w:cs="宋体"/>
                <w:color w:val="000000"/>
                <w:szCs w:val="21"/>
                <w:highlight w:val="none"/>
              </w:rPr>
              <w:t xml:space="preserve">    </w:t>
            </w: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量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ind w:firstLine="44" w:firstLineChars="21"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  <w:r>
              <w:rPr>
                <w:rFonts w:ascii="宋体" w:hAnsi="宋体" w:cs="宋体"/>
                <w:color w:val="000000"/>
                <w:szCs w:val="21"/>
                <w:highlight w:val="none"/>
              </w:rPr>
              <w:t>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atLeast"/>
          <w:jc w:val="center"/>
        </w:trPr>
        <w:tc>
          <w:tcPr>
            <w:tcW w:w="12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载</w:t>
            </w:r>
            <w:r>
              <w:rPr>
                <w:rFonts w:ascii="宋体" w:hAnsi="宋体" w:cs="宋体"/>
                <w:color w:val="000000"/>
                <w:szCs w:val="21"/>
                <w:highlight w:val="none"/>
              </w:rPr>
              <w:t xml:space="preserve"> </w:t>
            </w: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重</w:t>
            </w:r>
            <w:r>
              <w:rPr>
                <w:rFonts w:ascii="宋体" w:hAnsi="宋体" w:cs="宋体"/>
                <w:color w:val="000000"/>
                <w:szCs w:val="21"/>
                <w:highlight w:val="none"/>
              </w:rPr>
              <w:t xml:space="preserve"> </w:t>
            </w: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量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  <w:r>
              <w:rPr>
                <w:rFonts w:ascii="宋体" w:hAnsi="宋体" w:cs="宋体"/>
                <w:color w:val="000000"/>
                <w:szCs w:val="21"/>
                <w:highlight w:val="none"/>
              </w:rPr>
              <w:t>1000kg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atLeast"/>
          <w:jc w:val="center"/>
        </w:trPr>
        <w:tc>
          <w:tcPr>
            <w:tcW w:w="12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额定速度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  <w:r>
              <w:rPr>
                <w:rFonts w:ascii="宋体" w:hAnsi="宋体" w:cs="宋体"/>
                <w:color w:val="000000"/>
                <w:szCs w:val="21"/>
                <w:highlight w:val="none"/>
              </w:rPr>
              <w:t>1.6m/s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atLeast"/>
          <w:jc w:val="center"/>
        </w:trPr>
        <w:tc>
          <w:tcPr>
            <w:tcW w:w="12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服务楼层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  <w:r>
              <w:rPr>
                <w:rFonts w:ascii="宋体" w:cs="宋体"/>
                <w:color w:val="000000"/>
                <w:szCs w:val="21"/>
                <w:highlight w:val="none"/>
              </w:rPr>
              <w:t>-</w:t>
            </w:r>
            <w:r>
              <w:rPr>
                <w:rFonts w:ascii="宋体" w:hAnsi="宋体" w:cs="宋体"/>
                <w:color w:val="000000"/>
                <w:szCs w:val="21"/>
                <w:highlight w:val="none"/>
              </w:rPr>
              <w:t>1</w:t>
            </w: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层</w:t>
            </w:r>
            <w:r>
              <w:rPr>
                <w:rFonts w:ascii="宋体" w:cs="宋体"/>
                <w:color w:val="000000"/>
                <w:szCs w:val="21"/>
                <w:highlight w:val="none"/>
              </w:rPr>
              <w:t>-</w:t>
            </w:r>
            <w:r>
              <w:rPr>
                <w:rFonts w:ascii="宋体" w:hAnsi="宋体" w:cs="宋体"/>
                <w:color w:val="000000"/>
                <w:szCs w:val="21"/>
                <w:highlight w:val="none"/>
              </w:rPr>
              <w:t>6</w:t>
            </w: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atLeast"/>
          <w:jc w:val="center"/>
        </w:trPr>
        <w:tc>
          <w:tcPr>
            <w:tcW w:w="12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停站数</w:t>
            </w:r>
            <w:r>
              <w:rPr>
                <w:rFonts w:ascii="宋体" w:hAnsi="宋体" w:cs="宋体"/>
                <w:color w:val="000000"/>
                <w:szCs w:val="21"/>
                <w:highlight w:val="none"/>
              </w:rPr>
              <w:t>/</w:t>
            </w: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基站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  <w:r>
              <w:rPr>
                <w:rFonts w:ascii="宋体" w:hAnsi="宋体" w:cs="宋体"/>
                <w:color w:val="000000"/>
                <w:szCs w:val="21"/>
                <w:highlight w:val="none"/>
              </w:rPr>
              <w:t>7/1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atLeast"/>
          <w:jc w:val="center"/>
        </w:trPr>
        <w:tc>
          <w:tcPr>
            <w:tcW w:w="12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井道尺寸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  <w:bdr w:val="single" w:color="auto" w:sz="4" w:space="0"/>
              </w:rPr>
            </w:pPr>
            <w:r>
              <w:rPr>
                <w:rFonts w:ascii="宋体" w:hAnsi="宋体" w:cs="宋体"/>
                <w:color w:val="000000"/>
                <w:szCs w:val="21"/>
                <w:highlight w:val="none"/>
              </w:rPr>
              <w:t>2400mm(</w:t>
            </w: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宽）</w:t>
            </w:r>
            <w:r>
              <w:rPr>
                <w:rFonts w:ascii="宋体" w:hAnsi="宋体" w:cs="宋体"/>
                <w:color w:val="000000"/>
                <w:szCs w:val="21"/>
                <w:highlight w:val="none"/>
              </w:rPr>
              <w:t>*2200mm</w:t>
            </w: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（深）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atLeast"/>
          <w:jc w:val="center"/>
        </w:trPr>
        <w:tc>
          <w:tcPr>
            <w:tcW w:w="12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轿厢尺寸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  <w:r>
              <w:rPr>
                <w:rFonts w:ascii="宋体" w:hAnsi="宋体" w:cs="宋体"/>
                <w:color w:val="000000"/>
                <w:szCs w:val="21"/>
                <w:highlight w:val="none"/>
              </w:rPr>
              <w:t>1600</w:t>
            </w: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毫米</w:t>
            </w:r>
            <w:r>
              <w:rPr>
                <w:rFonts w:ascii="宋体" w:hAnsi="宋体" w:cs="宋体"/>
                <w:color w:val="000000"/>
                <w:szCs w:val="21"/>
                <w:highlight w:val="none"/>
              </w:rPr>
              <w:t>(</w:t>
            </w: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宽</w:t>
            </w:r>
            <w:r>
              <w:rPr>
                <w:rFonts w:ascii="宋体" w:hAnsi="宋体" w:cs="宋体"/>
                <w:color w:val="000000"/>
                <w:szCs w:val="21"/>
                <w:highlight w:val="none"/>
              </w:rPr>
              <w:t>) X 1500</w:t>
            </w: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毫米</w:t>
            </w:r>
            <w:r>
              <w:rPr>
                <w:rFonts w:ascii="宋体" w:hAnsi="宋体" w:cs="宋体"/>
                <w:color w:val="000000"/>
                <w:szCs w:val="21"/>
                <w:highlight w:val="none"/>
              </w:rPr>
              <w:t>(</w:t>
            </w: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深</w:t>
            </w:r>
            <w:r>
              <w:rPr>
                <w:rFonts w:ascii="宋体" w:hAnsi="宋体" w:cs="宋体"/>
                <w:color w:val="000000"/>
                <w:szCs w:val="21"/>
                <w:highlight w:val="none"/>
              </w:rPr>
              <w:t>) X 2400</w:t>
            </w: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毫米</w:t>
            </w:r>
            <w:r>
              <w:rPr>
                <w:rFonts w:ascii="宋体" w:hAnsi="宋体" w:cs="宋体"/>
                <w:color w:val="000000"/>
                <w:szCs w:val="21"/>
                <w:highlight w:val="none"/>
              </w:rPr>
              <w:t>(</w:t>
            </w: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高</w:t>
            </w:r>
            <w:r>
              <w:rPr>
                <w:rFonts w:ascii="宋体" w:hAnsi="宋体" w:cs="宋体"/>
                <w:color w:val="000000"/>
                <w:szCs w:val="21"/>
                <w:highlight w:val="none"/>
              </w:rPr>
              <w:t>)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atLeast"/>
          <w:jc w:val="center"/>
        </w:trPr>
        <w:tc>
          <w:tcPr>
            <w:tcW w:w="12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提升高度（标高）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  <w:r>
              <w:rPr>
                <w:rFonts w:ascii="宋体" w:hAnsi="宋体" w:cs="宋体"/>
                <w:color w:val="000000"/>
                <w:szCs w:val="21"/>
                <w:highlight w:val="none"/>
              </w:rPr>
              <w:t>23</w:t>
            </w: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米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atLeast"/>
          <w:jc w:val="center"/>
        </w:trPr>
        <w:tc>
          <w:tcPr>
            <w:tcW w:w="12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顶层高度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  <w:r>
              <w:rPr>
                <w:rFonts w:ascii="宋体" w:hAnsi="宋体" w:cs="宋体"/>
                <w:color w:val="000000"/>
                <w:szCs w:val="21"/>
                <w:highlight w:val="none"/>
              </w:rPr>
              <w:t>4400mm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atLeast"/>
          <w:jc w:val="center"/>
        </w:trPr>
        <w:tc>
          <w:tcPr>
            <w:tcW w:w="12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地坑深度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  <w:r>
              <w:rPr>
                <w:rFonts w:ascii="宋体" w:hAnsi="宋体" w:cs="宋体"/>
                <w:color w:val="000000"/>
                <w:szCs w:val="21"/>
                <w:highlight w:val="none"/>
              </w:rPr>
              <w:t>1700mm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atLeast"/>
          <w:jc w:val="center"/>
        </w:trPr>
        <w:tc>
          <w:tcPr>
            <w:tcW w:w="12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开门尺寸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  <w:bdr w:val="single" w:color="auto" w:sz="4" w:space="0"/>
              </w:rPr>
            </w:pPr>
            <w:r>
              <w:rPr>
                <w:rFonts w:ascii="宋体" w:hAnsi="宋体" w:cs="宋体"/>
                <w:color w:val="000000"/>
                <w:szCs w:val="21"/>
                <w:highlight w:val="none"/>
              </w:rPr>
              <w:t>900mm(</w:t>
            </w: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宽</w:t>
            </w:r>
            <w:r>
              <w:rPr>
                <w:rFonts w:ascii="宋体" w:hAnsi="宋体" w:cs="宋体"/>
                <w:color w:val="000000"/>
                <w:szCs w:val="21"/>
                <w:highlight w:val="none"/>
              </w:rPr>
              <w:t>) X 2100mm(</w:t>
            </w: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高</w:t>
            </w:r>
            <w:r>
              <w:rPr>
                <w:rFonts w:ascii="宋体" w:hAnsi="宋体" w:cs="宋体"/>
                <w:color w:val="000000"/>
                <w:szCs w:val="21"/>
                <w:highlight w:val="none"/>
              </w:rPr>
              <w:t>)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atLeast"/>
          <w:jc w:val="center"/>
        </w:trPr>
        <w:tc>
          <w:tcPr>
            <w:tcW w:w="12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控制方式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  <w:r>
              <w:rPr>
                <w:rFonts w:ascii="宋体" w:hAnsi="宋体" w:cs="宋体"/>
                <w:color w:val="000000"/>
                <w:szCs w:val="21"/>
                <w:highlight w:val="none"/>
              </w:rPr>
              <w:t xml:space="preserve">VVVF </w:t>
            </w: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微电脑模块化，串行通讯控制系统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12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调速系统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变流变频变压调速（</w:t>
            </w:r>
            <w:r>
              <w:rPr>
                <w:rFonts w:ascii="宋体" w:hAnsi="宋体" w:cs="宋体"/>
                <w:color w:val="000000"/>
                <w:szCs w:val="21"/>
                <w:highlight w:val="none"/>
              </w:rPr>
              <w:t xml:space="preserve">VVVF)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atLeast"/>
          <w:jc w:val="center"/>
        </w:trPr>
        <w:tc>
          <w:tcPr>
            <w:tcW w:w="12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传动装置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永磁同步无齿轮曳引机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atLeast"/>
          <w:jc w:val="center"/>
        </w:trPr>
        <w:tc>
          <w:tcPr>
            <w:tcW w:w="12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门机系统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变频变压调速（</w:t>
            </w:r>
            <w:r>
              <w:rPr>
                <w:rFonts w:ascii="宋体" w:hAnsi="宋体" w:cs="宋体"/>
                <w:color w:val="000000"/>
                <w:szCs w:val="21"/>
                <w:highlight w:val="none"/>
              </w:rPr>
              <w:t>VVVF)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atLeast"/>
          <w:jc w:val="center"/>
        </w:trPr>
        <w:tc>
          <w:tcPr>
            <w:tcW w:w="12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开门方式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双扇中分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atLeast"/>
          <w:jc w:val="center"/>
        </w:trPr>
        <w:tc>
          <w:tcPr>
            <w:tcW w:w="12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梯门防火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无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atLeast"/>
          <w:jc w:val="center"/>
        </w:trPr>
        <w:tc>
          <w:tcPr>
            <w:tcW w:w="12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Cs w:val="21"/>
                <w:highlight w:val="none"/>
              </w:rPr>
              <w:t>电源要求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Cs w:val="21"/>
                <w:highlight w:val="none"/>
              </w:rPr>
              <w:t>三相五线制</w:t>
            </w:r>
            <w:r>
              <w:rPr>
                <w:rFonts w:ascii="宋体" w:hAnsi="宋体" w:cs="宋体"/>
                <w:color w:val="auto"/>
                <w:szCs w:val="21"/>
                <w:highlight w:val="none"/>
              </w:rPr>
              <w:t>380V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atLeast"/>
          <w:jc w:val="center"/>
        </w:trPr>
        <w:tc>
          <w:tcPr>
            <w:tcW w:w="12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strike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en-US"/>
              </w:rPr>
              <w:t>轿厢通风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strike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采用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eastAsia="en-US"/>
              </w:rPr>
              <w:t>轿厢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</w:rPr>
              <w:t>空调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atLeast"/>
          <w:jc w:val="center"/>
        </w:trPr>
        <w:tc>
          <w:tcPr>
            <w:tcW w:w="12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exact"/>
              <w:rPr>
                <w:rFonts w:hAnsi="宋体"/>
                <w:color w:val="auto"/>
                <w:highlight w:val="none"/>
              </w:rPr>
            </w:pPr>
            <w:r>
              <w:rPr>
                <w:rFonts w:hint="eastAsia" w:hAnsi="宋体" w:cs="宋体"/>
                <w:color w:val="auto"/>
                <w:highlight w:val="none"/>
              </w:rPr>
              <w:t>轿厢</w:t>
            </w:r>
            <w:r>
              <w:rPr>
                <w:rFonts w:hint="eastAsia" w:hAnsi="宋体"/>
                <w:color w:val="auto"/>
                <w:highlight w:val="none"/>
              </w:rPr>
              <w:t>吊顶</w:t>
            </w:r>
          </w:p>
        </w:tc>
        <w:tc>
          <w:tcPr>
            <w:tcW w:w="3839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exact"/>
              <w:jc w:val="left"/>
              <w:rPr>
                <w:rFonts w:hAnsi="宋体"/>
                <w:color w:val="auto"/>
                <w:highlight w:val="none"/>
              </w:rPr>
            </w:pPr>
            <w:r>
              <w:rPr>
                <w:rFonts w:hint="eastAsia" w:hAnsi="宋体"/>
                <w:color w:val="auto"/>
                <w:highlight w:val="none"/>
              </w:rPr>
              <w:t>镜面不锈钢，亚克力透光板</w:t>
            </w:r>
            <w:r>
              <w:rPr>
                <w:rFonts w:hAnsi="宋体"/>
                <w:color w:val="auto"/>
                <w:highlight w:val="none"/>
              </w:rPr>
              <w:t>,LED</w:t>
            </w:r>
            <w:r>
              <w:rPr>
                <w:rFonts w:hint="eastAsia" w:hAnsi="宋体"/>
                <w:color w:val="auto"/>
                <w:highlight w:val="none"/>
              </w:rPr>
              <w:t>灯，</w:t>
            </w:r>
            <w:r>
              <w:rPr>
                <w:rFonts w:hint="eastAsia" w:hAnsi="宋体"/>
                <w:b/>
                <w:bCs/>
                <w:color w:val="auto"/>
                <w:highlight w:val="none"/>
              </w:rPr>
              <w:t>样式详见参考图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atLeast"/>
          <w:jc w:val="center"/>
        </w:trPr>
        <w:tc>
          <w:tcPr>
            <w:tcW w:w="12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exact"/>
              <w:rPr>
                <w:rFonts w:hAnsi="宋体"/>
                <w:color w:val="auto"/>
                <w:highlight w:val="none"/>
              </w:rPr>
            </w:pPr>
            <w:r>
              <w:rPr>
                <w:rFonts w:hint="eastAsia" w:hAnsi="宋体" w:cs="宋体"/>
                <w:color w:val="auto"/>
                <w:highlight w:val="none"/>
              </w:rPr>
              <w:t>轿厢地板</w:t>
            </w:r>
          </w:p>
        </w:tc>
        <w:tc>
          <w:tcPr>
            <w:tcW w:w="3839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exact"/>
              <w:jc w:val="left"/>
              <w:rPr>
                <w:rFonts w:hAnsi="宋体"/>
                <w:color w:val="auto"/>
                <w:highlight w:val="none"/>
              </w:rPr>
            </w:pPr>
            <w:r>
              <w:rPr>
                <w:rFonts w:hint="eastAsia" w:hAnsi="宋体"/>
                <w:color w:val="auto"/>
                <w:highlight w:val="none"/>
              </w:rPr>
              <w:t>大理石，</w:t>
            </w:r>
            <w:r>
              <w:rPr>
                <w:rFonts w:hint="eastAsia" w:hAnsi="宋体"/>
                <w:b/>
                <w:bCs/>
                <w:color w:val="auto"/>
                <w:highlight w:val="none"/>
              </w:rPr>
              <w:t>样式详见参考图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atLeast"/>
          <w:jc w:val="center"/>
        </w:trPr>
        <w:tc>
          <w:tcPr>
            <w:tcW w:w="12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exact"/>
              <w:rPr>
                <w:rFonts w:hAnsi="宋体"/>
                <w:color w:val="auto"/>
                <w:highlight w:val="none"/>
              </w:rPr>
            </w:pPr>
            <w:r>
              <w:rPr>
                <w:rFonts w:hint="eastAsia" w:hAnsi="宋体" w:cs="宋体"/>
                <w:color w:val="auto"/>
                <w:highlight w:val="none"/>
              </w:rPr>
              <w:t>轿壁</w:t>
            </w:r>
          </w:p>
        </w:tc>
        <w:tc>
          <w:tcPr>
            <w:tcW w:w="3839" w:type="dxa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60" w:lineRule="exact"/>
              <w:jc w:val="left"/>
              <w:rPr>
                <w:rFonts w:hAnsi="宋体"/>
                <w:color w:val="auto"/>
                <w:highlight w:val="none"/>
              </w:rPr>
            </w:pPr>
            <w:r>
              <w:rPr>
                <w:rFonts w:hint="eastAsia" w:hAnsi="宋体"/>
                <w:color w:val="auto"/>
                <w:highlight w:val="none"/>
              </w:rPr>
              <w:t>镜面锈钢</w:t>
            </w:r>
            <w:r>
              <w:rPr>
                <w:rFonts w:hAnsi="宋体"/>
                <w:color w:val="auto"/>
                <w:highlight w:val="none"/>
              </w:rPr>
              <w:t>,</w:t>
            </w:r>
            <w:r>
              <w:rPr>
                <w:rFonts w:hint="eastAsia" w:hAnsi="宋体"/>
                <w:color w:val="auto"/>
                <w:highlight w:val="none"/>
              </w:rPr>
              <w:t>发纹不锈钢，</w:t>
            </w:r>
            <w:r>
              <w:rPr>
                <w:rFonts w:hint="eastAsia" w:hAnsi="宋体" w:cs="宋体"/>
                <w:color w:val="auto"/>
                <w:highlight w:val="none"/>
              </w:rPr>
              <w:t>厚度≥</w:t>
            </w:r>
            <w:r>
              <w:rPr>
                <w:rFonts w:hAnsi="宋体" w:cs="宋体"/>
                <w:color w:val="auto"/>
                <w:highlight w:val="none"/>
              </w:rPr>
              <w:t>1.2</w:t>
            </w:r>
            <w:r>
              <w:rPr>
                <w:rFonts w:ascii="Times New Roman"/>
                <w:color w:val="auto"/>
                <w:spacing w:val="11"/>
                <w:highlight w:val="none"/>
              </w:rPr>
              <w:t xml:space="preserve"> </w:t>
            </w:r>
            <w:r>
              <w:rPr>
                <w:rFonts w:hAnsi="宋体" w:cs="宋体"/>
                <w:color w:val="auto"/>
                <w:highlight w:val="none"/>
              </w:rPr>
              <w:t>mm</w:t>
            </w:r>
            <w:r>
              <w:rPr>
                <w:rFonts w:hint="eastAsia" w:hAnsi="宋体" w:cs="宋体"/>
                <w:color w:val="auto"/>
                <w:highlight w:val="none"/>
              </w:rPr>
              <w:t>；</w:t>
            </w:r>
            <w:r>
              <w:rPr>
                <w:rFonts w:hint="eastAsia" w:hAnsi="宋体"/>
                <w:b/>
                <w:bCs/>
                <w:color w:val="auto"/>
                <w:highlight w:val="none"/>
              </w:rPr>
              <w:t>样式详见参考图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atLeast"/>
          <w:jc w:val="center"/>
        </w:trPr>
        <w:tc>
          <w:tcPr>
            <w:tcW w:w="12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before="113" w:line="219" w:lineRule="exact"/>
              <w:rPr>
                <w:rFonts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Cs w:val="21"/>
                <w:highlight w:val="none"/>
              </w:rPr>
              <w:t>轿厢门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left"/>
              <w:rPr>
                <w:rFonts w:asci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发纹不锈钢，厚度≥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1.2mm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left"/>
              <w:rPr>
                <w:rFonts w:hAnsi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耐火极限不低于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1.0H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，应符合《电梯层门耐火实验完整性、隔热性和热通量测定法》</w:t>
            </w:r>
            <w:r>
              <w:rPr>
                <w:rFonts w:ascii="宋体" w:hAnsi="宋体"/>
                <w:color w:val="auto"/>
                <w:szCs w:val="21"/>
                <w:highlight w:val="none"/>
              </w:rPr>
              <w:t>CB/T27903-2011</w:t>
            </w:r>
            <w:r>
              <w:rPr>
                <w:rFonts w:hint="eastAsia" w:ascii="宋体" w:hAnsi="宋体"/>
                <w:color w:val="auto"/>
                <w:szCs w:val="21"/>
                <w:highlight w:val="none"/>
              </w:rPr>
              <w:t>的相关规定。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3" w:hRule="atLeast"/>
          <w:jc w:val="center"/>
        </w:trPr>
        <w:tc>
          <w:tcPr>
            <w:tcW w:w="1204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FF000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功能配置</w:t>
            </w: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highlight w:val="none"/>
                <w:u w:val="single"/>
              </w:rPr>
              <w:t>安全功能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highlight w:val="none"/>
              </w:rPr>
              <w:t>新内呼快速关门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atLeast"/>
          <w:jc w:val="center"/>
        </w:trPr>
        <w:tc>
          <w:tcPr>
            <w:tcW w:w="12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FF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FF000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/>
                <w:bCs/>
                <w:i/>
                <w:iCs/>
                <w:color w:val="000000"/>
                <w:highlight w:val="none"/>
              </w:rPr>
              <w:t>拯救及故障监测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外呼重新开门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atLeast"/>
          <w:jc w:val="center"/>
        </w:trPr>
        <w:tc>
          <w:tcPr>
            <w:tcW w:w="12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FF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FF000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上行轿厢超速保护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光幕保护，自动重开门功能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atLeast"/>
          <w:jc w:val="center"/>
        </w:trPr>
        <w:tc>
          <w:tcPr>
            <w:tcW w:w="12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FF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FF000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缓冲器开关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/>
                <w:bCs/>
                <w:i/>
                <w:iCs/>
                <w:color w:val="000000"/>
                <w:highlight w:val="none"/>
              </w:rPr>
              <w:t>滥用、误用保护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atLeast"/>
          <w:jc w:val="center"/>
        </w:trPr>
        <w:tc>
          <w:tcPr>
            <w:tcW w:w="12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FF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FF000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轿顶闭锁装置开关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反向内呼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atLeast"/>
          <w:jc w:val="center"/>
        </w:trPr>
        <w:tc>
          <w:tcPr>
            <w:tcW w:w="1204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FF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FF000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修正运行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取消轿厢虚假召唤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atLeast"/>
          <w:jc w:val="center"/>
        </w:trPr>
        <w:tc>
          <w:tcPr>
            <w:tcW w:w="1204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双速度监控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外呼互锁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atLeast"/>
          <w:jc w:val="center"/>
        </w:trPr>
        <w:tc>
          <w:tcPr>
            <w:tcW w:w="1204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运行时间监控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按钮粘滞监察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atLeast"/>
          <w:jc w:val="center"/>
        </w:trPr>
        <w:tc>
          <w:tcPr>
            <w:tcW w:w="1204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门区指示灯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/>
                <w:bCs/>
                <w:i/>
                <w:iCs/>
                <w:color w:val="000000"/>
                <w:highlight w:val="none"/>
              </w:rPr>
              <w:t>运行舒适度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204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highlight w:val="none"/>
              </w:rPr>
              <w:t>功能配置</w:t>
            </w: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轿厢安全出口触点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轿内照明监控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204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马达过热保护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轿厢称重装置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204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Arial" w:hAnsi="Arial" w:cs="Arial"/>
                <w:color w:val="000000"/>
                <w:highlight w:val="none"/>
              </w:rPr>
              <w:t>相位故障检测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轿厢照明自动控制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204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救助运行功能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轿厢通风自动控制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204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轿</w:t>
            </w:r>
            <w:r>
              <w:rPr>
                <w:rFonts w:hint="eastAsia" w:ascii="宋体" w:hAnsi="宋体" w:cs="宋体"/>
                <w:highlight w:val="none"/>
              </w:rPr>
              <w:t>厢意外移动冗余监测和制动器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highlight w:val="none"/>
                <w:u w:val="single"/>
              </w:rPr>
              <w:t>安保功能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204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/>
                <w:bCs/>
                <w:i/>
                <w:iCs/>
                <w:color w:val="000000"/>
                <w:highlight w:val="none"/>
              </w:rPr>
              <w:t>紧急备用电源和电源恢复运行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/>
                <w:bCs/>
                <w:i/>
                <w:iCs/>
                <w:color w:val="000000"/>
                <w:highlight w:val="none"/>
              </w:rPr>
              <w:t>防盗窃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204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紧急轿厢照明，独立照明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轿门机械锁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204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紧急电池供电（供紧急照明，警铃）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highlight w:val="none"/>
                <w:u w:val="single"/>
              </w:rPr>
              <w:t>控制功能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204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同步运行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/>
                <w:bCs/>
                <w:i/>
                <w:iCs/>
                <w:color w:val="000000"/>
                <w:highlight w:val="none"/>
              </w:rPr>
              <w:t>大楼适应性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1204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/>
                <w:bCs/>
                <w:i/>
                <w:iCs/>
                <w:color w:val="000000"/>
                <w:highlight w:val="none"/>
              </w:rPr>
              <w:t>紧急通讯功能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轿厢照明熔丝及轿厢照明电源主开关位置，在控制柜内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204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警铃，轿顶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故障电流开关，一个相位用于照明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204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五方通话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主熔丝，控制柜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204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/>
                <w:bCs/>
                <w:i/>
                <w:iCs/>
                <w:color w:val="000000"/>
                <w:highlight w:val="none"/>
              </w:rPr>
              <w:t>其它安全及维护功能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主开关位于控制柜内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204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维修用开门按钮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/>
                <w:bCs/>
                <w:i/>
                <w:iCs/>
                <w:color w:val="000000"/>
                <w:highlight w:val="none"/>
              </w:rPr>
              <w:t>优先和特殊服务功能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204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机房内呼，所有楼层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层站退出服务开关，门关，灯熄灭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204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轿门触点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/>
                <w:bCs/>
                <w:i/>
                <w:iCs/>
                <w:color w:val="000000"/>
                <w:highlight w:val="none"/>
              </w:rPr>
              <w:t>空轿厢分配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204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轿门限位开关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主楼层停靠，门关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204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禁止开门开关，控制柜内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/>
                <w:bCs/>
                <w:i/>
                <w:iCs/>
                <w:color w:val="000000"/>
                <w:highlight w:val="none"/>
              </w:rPr>
              <w:t>优化运载流量功能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204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井道急停开关，一个开关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满载直驶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204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轿顶急停开关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下行高峰服务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204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禁止外呼开关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上下行高峰服务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204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轿厢限速器在井道里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上行高峰服务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204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限速器试验装置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highlight w:val="none"/>
                <w:u w:val="single"/>
              </w:rPr>
              <w:t>信息功能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204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检修运行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/>
                <w:bCs/>
                <w:i/>
                <w:iCs/>
                <w:color w:val="000000"/>
                <w:highlight w:val="none"/>
              </w:rPr>
              <w:t>厅外乘客信息显示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204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安全钳触点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外呼登录指示灯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204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轿厢限速器张紧块安全触点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/>
                <w:bCs/>
                <w:i/>
                <w:iCs/>
                <w:color w:val="000000"/>
                <w:highlight w:val="none"/>
              </w:rPr>
              <w:t>轿内信息显示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204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highlight w:val="none"/>
                <w:u w:val="single"/>
              </w:rPr>
              <w:t>乘客舒适功能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内呼登记指示灯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204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/>
                <w:bCs/>
                <w:i/>
                <w:iCs/>
                <w:color w:val="000000"/>
                <w:highlight w:val="none"/>
              </w:rPr>
              <w:t>出入轿厢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轿内轿厢位置指示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204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精确再平层，自动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轿内运行方向指示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204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提前开门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超载功能，指示灯持续亮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204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关门按钮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highlight w:val="none"/>
              </w:rPr>
            </w:pPr>
            <w:r>
              <w:rPr>
                <w:rFonts w:hint="eastAsia" w:ascii="宋体" w:hAnsi="宋体" w:cs="宋体"/>
                <w:b/>
                <w:bCs/>
                <w:i/>
                <w:iCs/>
                <w:color w:val="000000"/>
                <w:highlight w:val="none"/>
              </w:rPr>
              <w:t>控制柜信息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204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开门按钮</w:t>
            </w:r>
          </w:p>
        </w:tc>
        <w:tc>
          <w:tcPr>
            <w:tcW w:w="38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轿厢位置指示</w:t>
            </w:r>
            <w:r>
              <w:rPr>
                <w:rFonts w:ascii="宋体" w:cs="宋体"/>
                <w:color w:val="000000"/>
                <w:highlight w:val="none"/>
              </w:rPr>
              <w:t>-</w:t>
            </w:r>
            <w:r>
              <w:rPr>
                <w:rFonts w:hint="eastAsia" w:ascii="宋体" w:hAnsi="宋体" w:cs="宋体"/>
                <w:color w:val="000000"/>
                <w:highlight w:val="none"/>
              </w:rPr>
              <w:t>控制柜内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204" w:type="dxa"/>
            <w:vMerge w:val="continue"/>
            <w:tcBorders>
              <w:bottom w:val="single" w:color="auto" w:sz="12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jc w:val="left"/>
              <w:rPr>
                <w:rFonts w:ascii="宋体" w:cs="宋体"/>
                <w:color w:val="000000"/>
                <w:szCs w:val="21"/>
                <w:highlight w:val="none"/>
              </w:rPr>
            </w:pPr>
          </w:p>
        </w:tc>
        <w:tc>
          <w:tcPr>
            <w:tcW w:w="3481" w:type="dxa"/>
            <w:tcBorders>
              <w:bottom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强制关门</w:t>
            </w:r>
          </w:p>
        </w:tc>
        <w:tc>
          <w:tcPr>
            <w:tcW w:w="3839" w:type="dxa"/>
            <w:tcBorders>
              <w:bottom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rPr>
                <w:rFonts w:ascii="宋体" w:cs="宋体"/>
                <w:color w:val="000000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highlight w:val="none"/>
              </w:rPr>
              <w:t>起动计数器，断电不丢失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jc w:val="left"/>
        <w:rPr>
          <w:highlight w:val="none"/>
        </w:rPr>
      </w:pPr>
      <w:r>
        <w:rPr>
          <w:highlight w:val="none"/>
        </w:rPr>
        <w:br w:type="page"/>
      </w:r>
      <w:r>
        <w:rPr>
          <w:rFonts w:hint="eastAsia"/>
          <w:sz w:val="24"/>
          <w:szCs w:val="32"/>
          <w:highlight w:val="none"/>
        </w:rPr>
        <w:t>电梯轿厢样式</w:t>
      </w:r>
      <w:r>
        <w:rPr>
          <w:highlight w:val="none"/>
        </w:rPr>
        <w:drawing>
          <wp:inline distT="0" distB="0" distL="114300" distR="114300">
            <wp:extent cx="5924550" cy="7505700"/>
            <wp:effectExtent l="0" t="0" r="0" b="0"/>
            <wp:docPr id="4" name="图片 1" descr="2.Rear Wall &amp; B Side 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2.Rear Wall &amp; B Side Wall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jc w:val="left"/>
        <w:rPr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jc w:val="left"/>
        <w:rPr>
          <w:highlight w:val="none"/>
        </w:rPr>
      </w:pPr>
      <w:r>
        <w:rPr>
          <w:highlight w:val="none"/>
        </w:rPr>
        <w:br w:type="page"/>
      </w:r>
      <w:r>
        <w:rPr>
          <w:rFonts w:hint="eastAsia"/>
          <w:sz w:val="24"/>
          <w:szCs w:val="32"/>
          <w:highlight w:val="none"/>
        </w:rPr>
        <w:t>电梯轿门及操纵盘样式</w:t>
      </w:r>
      <w:r>
        <w:rPr>
          <w:highlight w:val="none"/>
        </w:rPr>
        <w:drawing>
          <wp:inline distT="0" distB="0" distL="114300" distR="114300">
            <wp:extent cx="5934075" cy="7924800"/>
            <wp:effectExtent l="0" t="0" r="9525" b="0"/>
            <wp:docPr id="5" name="图片 2" descr="3.Car Door &amp; Side Wa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3.Car Door &amp; Side Walls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jc w:val="left"/>
        <w:rPr>
          <w:highlight w:val="none"/>
        </w:rPr>
      </w:pPr>
      <w:r>
        <w:rPr>
          <w:sz w:val="24"/>
          <w:szCs w:val="32"/>
          <w:highlight w:val="none"/>
        </w:rPr>
        <w:br w:type="page"/>
      </w:r>
      <w:r>
        <w:rPr>
          <w:rFonts w:hint="eastAsia"/>
          <w:sz w:val="24"/>
          <w:szCs w:val="32"/>
          <w:highlight w:val="none"/>
        </w:rPr>
        <w:t>电梯厅门及外呼样式</w:t>
      </w:r>
      <w:r>
        <w:rPr>
          <w:highlight w:val="none"/>
        </w:rPr>
        <w:drawing>
          <wp:inline distT="0" distB="0" distL="114300" distR="114300">
            <wp:extent cx="5924550" cy="7991475"/>
            <wp:effectExtent l="0" t="0" r="0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highlight w:val="none"/>
        </w:rPr>
      </w:pPr>
    </w:p>
    <w:sectPr>
      <w:pgSz w:w="11906" w:h="16838"/>
      <w:pgMar w:top="1440" w:right="1440" w:bottom="144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JmOGQ1OTUyYjE0YTdhZWI2ZmYxYWYxNWFhYmM0YTIifQ=="/>
  </w:docVars>
  <w:rsids>
    <w:rsidRoot w:val="7CCD39CE"/>
    <w:rsid w:val="52775530"/>
    <w:rsid w:val="7CCD39CE"/>
    <w:rsid w:val="7CD12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99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99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5"/>
    <w:qFormat/>
    <w:uiPriority w:val="99"/>
    <w:pPr>
      <w:ind w:firstLine="420" w:firstLineChars="200"/>
    </w:pPr>
    <w:rPr>
      <w:szCs w:val="24"/>
    </w:rPr>
  </w:style>
  <w:style w:type="paragraph" w:styleId="3">
    <w:name w:val="Body Text Indent"/>
    <w:basedOn w:val="1"/>
    <w:next w:val="4"/>
    <w:qFormat/>
    <w:uiPriority w:val="99"/>
    <w:pPr>
      <w:ind w:left="420" w:leftChars="200"/>
    </w:pPr>
  </w:style>
  <w:style w:type="paragraph" w:styleId="4">
    <w:name w:val="envelope return"/>
    <w:basedOn w:val="1"/>
    <w:qFormat/>
    <w:uiPriority w:val="99"/>
    <w:pPr>
      <w:snapToGrid w:val="0"/>
    </w:pPr>
    <w:rPr>
      <w:rFonts w:ascii="Arial" w:hAnsi="Arial"/>
    </w:rPr>
  </w:style>
  <w:style w:type="paragraph" w:styleId="5">
    <w:name w:val="Normal Indent"/>
    <w:basedOn w:val="1"/>
    <w:next w:val="1"/>
    <w:qFormat/>
    <w:uiPriority w:val="99"/>
    <w:pPr>
      <w:ind w:firstLine="420" w:firstLineChars="200"/>
    </w:pPr>
    <w:rPr>
      <w:szCs w:val="24"/>
    </w:rPr>
  </w:style>
  <w:style w:type="paragraph" w:styleId="6">
    <w:name w:val="Body Text"/>
    <w:basedOn w:val="1"/>
    <w:next w:val="7"/>
    <w:qFormat/>
    <w:uiPriority w:val="99"/>
    <w:pPr>
      <w:jc w:val="center"/>
    </w:pPr>
    <w:rPr>
      <w:sz w:val="28"/>
    </w:rPr>
  </w:style>
  <w:style w:type="paragraph" w:styleId="7">
    <w:name w:val="Date"/>
    <w:basedOn w:val="1"/>
    <w:next w:val="1"/>
    <w:qFormat/>
    <w:uiPriority w:val="99"/>
    <w:pPr>
      <w:ind w:left="100" w:leftChars="2500"/>
    </w:pPr>
  </w:style>
  <w:style w:type="paragraph" w:styleId="8">
    <w:name w:val="Plain Text"/>
    <w:basedOn w:val="1"/>
    <w:qFormat/>
    <w:uiPriority w:val="99"/>
    <w:rPr>
      <w:rFonts w:ascii="宋体" w:hAnsi="Courier New"/>
      <w:szCs w:val="21"/>
    </w:rPr>
  </w:style>
  <w:style w:type="paragraph" w:customStyle="1" w:styleId="11">
    <w:name w:val="Normal1"/>
    <w:qFormat/>
    <w:uiPriority w:val="99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1752</Words>
  <Characters>1855</Characters>
  <Lines>0</Lines>
  <Paragraphs>0</Paragraphs>
  <TotalTime>7</TotalTime>
  <ScaleCrop>false</ScaleCrop>
  <LinksUpToDate>false</LinksUpToDate>
  <CharactersWithSpaces>1881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2022-11-28T08:34:00Z</dcterms:created>
  <dc:creator>智特公司1</dc:creator>
  <cp:lastModifiedBy>R.jolly</cp:lastModifiedBy>
  <dcterms:modified xsi:type="dcterms:W3CDTF">2022-11-29T07:13:09Z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98DED13F3796434E8415D14D3188E1A5</vt:lpwstr>
  </property>
</Properties>
</file>