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color w:val="000000"/>
          <w:sz w:val="48"/>
          <w:szCs w:val="48"/>
          <w:highlight w:val="none"/>
          <w:lang w:val="en-US" w:eastAsia="zh-CN"/>
        </w:rPr>
      </w:pPr>
      <w:r>
        <w:rPr>
          <w:rFonts w:hint="eastAsia" w:ascii="宋体" w:hAnsi="宋体" w:cs="宋体"/>
          <w:b/>
          <w:color w:val="000000"/>
          <w:sz w:val="48"/>
          <w:szCs w:val="48"/>
          <w:highlight w:val="none"/>
          <w:lang w:val="en-US" w:eastAsia="zh-CN"/>
        </w:rPr>
        <w:t>安庆火车站站前广场自动扶梯维修服务</w:t>
      </w:r>
    </w:p>
    <w:p>
      <w:pPr>
        <w:spacing w:line="360" w:lineRule="auto"/>
        <w:jc w:val="center"/>
        <w:rPr>
          <w:rFonts w:ascii="宋体" w:hAnsi="宋体" w:cs="宋体"/>
          <w:b/>
          <w:color w:val="000000"/>
          <w:sz w:val="48"/>
          <w:szCs w:val="48"/>
          <w:highlight w:val="none"/>
        </w:rPr>
      </w:pPr>
      <w:r>
        <w:rPr>
          <w:rFonts w:hint="eastAsia" w:ascii="宋体" w:hAnsi="宋体" w:cs="宋体"/>
          <w:b/>
          <w:color w:val="000000"/>
          <w:sz w:val="48"/>
          <w:szCs w:val="48"/>
          <w:highlight w:val="none"/>
        </w:rPr>
        <w:t>采购</w:t>
      </w:r>
    </w:p>
    <w:p>
      <w:pPr>
        <w:spacing w:line="360" w:lineRule="auto"/>
        <w:jc w:val="center"/>
        <w:rPr>
          <w:rFonts w:ascii="宋体" w:hAnsi="宋体" w:cs="宋体"/>
          <w:b/>
          <w:color w:val="000000"/>
          <w:sz w:val="48"/>
          <w:szCs w:val="48"/>
          <w:highlight w:val="none"/>
        </w:rPr>
      </w:pPr>
    </w:p>
    <w:p>
      <w:pPr>
        <w:spacing w:line="360" w:lineRule="auto"/>
        <w:jc w:val="center"/>
        <w:rPr>
          <w:rFonts w:ascii="宋体" w:hAnsi="宋体" w:cs="宋体"/>
          <w:b/>
          <w:color w:val="000000"/>
          <w:sz w:val="48"/>
          <w:szCs w:val="48"/>
          <w:highlight w:val="none"/>
        </w:rPr>
      </w:pPr>
    </w:p>
    <w:p>
      <w:pPr>
        <w:spacing w:line="360" w:lineRule="auto"/>
        <w:jc w:val="center"/>
        <w:rPr>
          <w:rFonts w:ascii="宋体" w:hAnsi="宋体" w:cs="宋体"/>
          <w:b/>
          <w:color w:val="000000"/>
          <w:sz w:val="48"/>
          <w:szCs w:val="48"/>
          <w:highlight w:val="none"/>
        </w:rPr>
      </w:pPr>
    </w:p>
    <w:p>
      <w:pPr>
        <w:spacing w:line="360" w:lineRule="auto"/>
        <w:jc w:val="center"/>
        <w:rPr>
          <w:rFonts w:ascii="宋体" w:hAnsi="宋体" w:cs="宋体"/>
          <w:b/>
          <w:color w:val="000000"/>
          <w:sz w:val="110"/>
          <w:szCs w:val="110"/>
          <w:highlight w:val="none"/>
        </w:rPr>
      </w:pPr>
      <w:r>
        <w:rPr>
          <w:rFonts w:hint="eastAsia" w:ascii="宋体" w:hAnsi="宋体" w:cs="宋体"/>
          <w:b/>
          <w:color w:val="000000"/>
          <w:sz w:val="110"/>
          <w:szCs w:val="110"/>
          <w:highlight w:val="none"/>
        </w:rPr>
        <w:t xml:space="preserve"> 竞争性谈判文件</w:t>
      </w:r>
    </w:p>
    <w:p>
      <w:pPr>
        <w:spacing w:line="360" w:lineRule="auto"/>
        <w:jc w:val="center"/>
        <w:rPr>
          <w:rFonts w:hint="default" w:ascii="宋体" w:hAnsi="宋体" w:eastAsia="宋体" w:cs="宋体"/>
          <w:b/>
          <w:color w:val="000000"/>
          <w:sz w:val="24"/>
          <w:szCs w:val="32"/>
          <w:highlight w:val="none"/>
          <w:lang w:val="en-US" w:eastAsia="zh-CN"/>
        </w:rPr>
      </w:pPr>
      <w:r>
        <w:rPr>
          <w:rFonts w:hint="eastAsia" w:ascii="宋体" w:hAnsi="宋体" w:cs="宋体"/>
          <w:b/>
          <w:color w:val="000000"/>
          <w:sz w:val="24"/>
          <w:highlight w:val="none"/>
        </w:rPr>
        <w:t>项目编号：CG-AQ-W2022-</w:t>
      </w:r>
      <w:r>
        <w:rPr>
          <w:rFonts w:hint="eastAsia" w:ascii="宋体" w:hAnsi="宋体" w:cs="宋体"/>
          <w:b/>
          <w:color w:val="000000"/>
          <w:sz w:val="24"/>
          <w:highlight w:val="none"/>
          <w:lang w:val="en-US" w:eastAsia="zh-CN"/>
        </w:rPr>
        <w:t>109</w:t>
      </w:r>
    </w:p>
    <w:p>
      <w:pPr>
        <w:spacing w:line="360" w:lineRule="auto"/>
        <w:rPr>
          <w:rFonts w:ascii="宋体" w:hAnsi="宋体" w:cs="宋体"/>
          <w:b/>
          <w:color w:val="000000"/>
          <w:sz w:val="24"/>
          <w:highlight w:val="none"/>
        </w:rPr>
      </w:pPr>
    </w:p>
    <w:p>
      <w:pPr>
        <w:spacing w:line="360" w:lineRule="auto"/>
        <w:rPr>
          <w:rFonts w:ascii="宋体" w:hAnsi="宋体" w:cs="宋体"/>
          <w:b/>
          <w:color w:val="000000"/>
          <w:sz w:val="24"/>
          <w:highlight w:val="none"/>
        </w:rPr>
      </w:pPr>
    </w:p>
    <w:p>
      <w:pPr>
        <w:spacing w:line="360" w:lineRule="auto"/>
        <w:rPr>
          <w:rFonts w:ascii="宋体" w:hAnsi="宋体" w:cs="宋体"/>
          <w:b/>
          <w:color w:val="000000"/>
          <w:sz w:val="24"/>
          <w:highlight w:val="none"/>
        </w:rPr>
      </w:pPr>
    </w:p>
    <w:p>
      <w:pPr>
        <w:spacing w:line="360" w:lineRule="auto"/>
        <w:rPr>
          <w:rFonts w:ascii="宋体" w:hAnsi="宋体" w:cs="宋体"/>
          <w:b/>
          <w:color w:val="000000"/>
          <w:sz w:val="24"/>
          <w:highlight w:val="none"/>
        </w:rPr>
      </w:pPr>
    </w:p>
    <w:p>
      <w:pPr>
        <w:spacing w:line="360" w:lineRule="auto"/>
        <w:rPr>
          <w:rFonts w:ascii="宋体" w:hAnsi="宋体" w:cs="宋体"/>
          <w:b/>
          <w:color w:val="000000"/>
          <w:sz w:val="24"/>
          <w:highlight w:val="none"/>
        </w:rPr>
      </w:pPr>
    </w:p>
    <w:p>
      <w:pPr>
        <w:spacing w:line="360" w:lineRule="auto"/>
        <w:ind w:firstLine="596" w:firstLineChars="198"/>
        <w:rPr>
          <w:rFonts w:ascii="宋体" w:hAnsi="宋体" w:cs="宋体"/>
          <w:b/>
          <w:color w:val="000000"/>
          <w:szCs w:val="21"/>
          <w:highlight w:val="none"/>
        </w:rPr>
      </w:pPr>
      <w:r>
        <w:rPr>
          <w:rFonts w:hint="eastAsia" w:ascii="宋体" w:hAnsi="宋体" w:cs="宋体"/>
          <w:b/>
          <w:color w:val="000000"/>
          <w:sz w:val="30"/>
          <w:szCs w:val="30"/>
          <w:highlight w:val="none"/>
        </w:rPr>
        <w:t>采   购   人：</w:t>
      </w:r>
      <w:r>
        <w:rPr>
          <w:rFonts w:hint="eastAsia" w:ascii="宋体" w:hAnsi="宋体" w:cs="宋体"/>
          <w:b/>
          <w:color w:val="000000"/>
          <w:sz w:val="30"/>
          <w:szCs w:val="30"/>
          <w:highlight w:val="none"/>
          <w:u w:val="single"/>
        </w:rPr>
        <w:t xml:space="preserve">    安庆皖江高科创业服务有限公司</w:t>
      </w:r>
      <w:r>
        <w:rPr>
          <w:rFonts w:hint="eastAsia" w:ascii="宋体" w:hAnsi="宋体" w:cs="宋体"/>
          <w:b/>
          <w:color w:val="000000"/>
          <w:spacing w:val="20"/>
          <w:sz w:val="30"/>
          <w:szCs w:val="30"/>
          <w:highlight w:val="none"/>
          <w:u w:val="single"/>
        </w:rPr>
        <w:t xml:space="preserve">         </w:t>
      </w:r>
      <w:r>
        <w:rPr>
          <w:rFonts w:hint="eastAsia" w:ascii="宋体" w:hAnsi="宋体" w:cs="宋体"/>
          <w:b/>
          <w:color w:val="000000"/>
          <w:sz w:val="30"/>
          <w:szCs w:val="30"/>
          <w:highlight w:val="none"/>
          <w:u w:val="single"/>
        </w:rPr>
        <w:t xml:space="preserve">  </w:t>
      </w:r>
    </w:p>
    <w:p>
      <w:pPr>
        <w:spacing w:line="360" w:lineRule="auto"/>
        <w:rPr>
          <w:rFonts w:ascii="宋体" w:hAnsi="宋体" w:cs="宋体"/>
          <w:b/>
          <w:color w:val="000000"/>
          <w:sz w:val="24"/>
          <w:highlight w:val="none"/>
        </w:rPr>
      </w:pPr>
    </w:p>
    <w:p>
      <w:pPr>
        <w:spacing w:line="360" w:lineRule="auto"/>
        <w:rPr>
          <w:rFonts w:ascii="宋体" w:hAnsi="宋体" w:cs="宋体"/>
          <w:b/>
          <w:color w:val="000000"/>
          <w:sz w:val="24"/>
          <w:highlight w:val="none"/>
        </w:rPr>
      </w:pPr>
    </w:p>
    <w:p>
      <w:pPr>
        <w:spacing w:line="360" w:lineRule="auto"/>
        <w:rPr>
          <w:rFonts w:ascii="宋体" w:hAnsi="宋体" w:cs="宋体"/>
          <w:b/>
          <w:color w:val="000000"/>
          <w:sz w:val="24"/>
          <w:highlight w:val="none"/>
        </w:rPr>
      </w:pPr>
    </w:p>
    <w:p>
      <w:pPr>
        <w:spacing w:line="360" w:lineRule="auto"/>
        <w:ind w:firstLine="596" w:firstLineChars="198"/>
        <w:rPr>
          <w:rFonts w:ascii="宋体" w:hAnsi="宋体" w:cs="宋体"/>
          <w:b/>
          <w:color w:val="000000"/>
          <w:sz w:val="18"/>
          <w:szCs w:val="18"/>
          <w:highlight w:val="none"/>
        </w:rPr>
      </w:pPr>
      <w:r>
        <w:rPr>
          <w:rFonts w:hint="eastAsia" w:ascii="宋体" w:hAnsi="宋体" w:cs="宋体"/>
          <w:b/>
          <w:color w:val="000000"/>
          <w:sz w:val="30"/>
          <w:szCs w:val="30"/>
          <w:highlight w:val="none"/>
        </w:rPr>
        <w:t>采购代理机构：</w:t>
      </w:r>
      <w:r>
        <w:rPr>
          <w:rFonts w:hint="eastAsia" w:ascii="宋体" w:hAnsi="宋体" w:cs="宋体"/>
          <w:b/>
          <w:color w:val="000000"/>
          <w:sz w:val="30"/>
          <w:szCs w:val="30"/>
          <w:highlight w:val="none"/>
          <w:u w:val="single"/>
        </w:rPr>
        <w:t xml:space="preserve">    安庆皖宜高科工程咨询有限公司  </w:t>
      </w:r>
      <w:r>
        <w:rPr>
          <w:rFonts w:hint="eastAsia" w:ascii="宋体" w:hAnsi="宋体" w:cs="宋体"/>
          <w:b/>
          <w:color w:val="000000"/>
          <w:spacing w:val="20"/>
          <w:sz w:val="30"/>
          <w:szCs w:val="30"/>
          <w:highlight w:val="none"/>
          <w:u w:val="single"/>
        </w:rPr>
        <w:t xml:space="preserve">  </w:t>
      </w:r>
      <w:r>
        <w:rPr>
          <w:rFonts w:hint="eastAsia" w:ascii="宋体" w:hAnsi="宋体" w:cs="宋体"/>
          <w:b/>
          <w:color w:val="000000"/>
          <w:sz w:val="30"/>
          <w:szCs w:val="30"/>
          <w:highlight w:val="none"/>
          <w:u w:val="single"/>
        </w:rPr>
        <w:t xml:space="preserve">  </w:t>
      </w:r>
    </w:p>
    <w:p>
      <w:pPr>
        <w:spacing w:line="360" w:lineRule="auto"/>
        <w:rPr>
          <w:rFonts w:ascii="宋体" w:hAnsi="宋体" w:cs="宋体"/>
          <w:b/>
          <w:color w:val="000000"/>
          <w:sz w:val="24"/>
          <w:highlight w:val="none"/>
          <w:u w:val="single"/>
        </w:rPr>
      </w:pPr>
    </w:p>
    <w:p>
      <w:pPr>
        <w:spacing w:line="360" w:lineRule="auto"/>
        <w:rPr>
          <w:rFonts w:ascii="宋体" w:hAnsi="宋体" w:cs="宋体"/>
          <w:b/>
          <w:color w:val="000000"/>
          <w:sz w:val="24"/>
          <w:highlight w:val="none"/>
          <w:u w:val="single"/>
        </w:rPr>
      </w:pPr>
    </w:p>
    <w:p>
      <w:pPr>
        <w:spacing w:line="360" w:lineRule="auto"/>
        <w:rPr>
          <w:rFonts w:ascii="宋体" w:hAnsi="宋体" w:cs="宋体"/>
          <w:color w:val="000000"/>
          <w:sz w:val="24"/>
          <w:highlight w:val="none"/>
        </w:rPr>
      </w:pPr>
    </w:p>
    <w:p>
      <w:pPr>
        <w:spacing w:line="360" w:lineRule="auto"/>
        <w:rPr>
          <w:rFonts w:ascii="宋体" w:hAnsi="宋体" w:cs="宋体"/>
          <w:b/>
          <w:color w:val="000000"/>
          <w:sz w:val="24"/>
          <w:highlight w:val="none"/>
          <w:u w:val="single"/>
        </w:rPr>
      </w:pPr>
    </w:p>
    <w:p>
      <w:pPr>
        <w:spacing w:line="360" w:lineRule="auto"/>
        <w:rPr>
          <w:rFonts w:ascii="宋体" w:hAnsi="宋体" w:cs="宋体"/>
          <w:b/>
          <w:color w:val="000000"/>
          <w:sz w:val="24"/>
          <w:highlight w:val="none"/>
          <w:u w:val="single"/>
        </w:rPr>
      </w:pPr>
    </w:p>
    <w:p>
      <w:pPr>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日  期：二〇二二年</w:t>
      </w:r>
      <w:r>
        <w:rPr>
          <w:rFonts w:hint="eastAsia" w:ascii="宋体" w:hAnsi="宋体" w:cs="宋体"/>
          <w:b/>
          <w:color w:val="000000"/>
          <w:sz w:val="30"/>
          <w:szCs w:val="30"/>
          <w:highlight w:val="none"/>
          <w:lang w:val="en-US" w:eastAsia="zh-CN"/>
        </w:rPr>
        <w:t>九</w:t>
      </w:r>
      <w:r>
        <w:rPr>
          <w:rFonts w:hint="eastAsia" w:ascii="宋体" w:hAnsi="宋体" w:cs="宋体"/>
          <w:b/>
          <w:color w:val="000000"/>
          <w:sz w:val="30"/>
          <w:szCs w:val="30"/>
          <w:highlight w:val="none"/>
        </w:rPr>
        <w:t>月</w:t>
      </w:r>
    </w:p>
    <w:p>
      <w:pPr>
        <w:spacing w:line="360" w:lineRule="auto"/>
        <w:jc w:val="center"/>
        <w:rPr>
          <w:rFonts w:ascii="宋体" w:hAnsi="宋体" w:cs="宋体"/>
          <w:color w:val="000000"/>
          <w:highlight w:val="none"/>
        </w:rPr>
      </w:pPr>
    </w:p>
    <w:p>
      <w:pPr>
        <w:rPr>
          <w:rFonts w:ascii="宋体" w:hAnsi="宋体" w:cs="宋体"/>
          <w:color w:val="000000"/>
          <w:highlight w:val="none"/>
        </w:rPr>
      </w:pPr>
    </w:p>
    <w:p>
      <w:pPr>
        <w:pStyle w:val="2"/>
        <w:rPr>
          <w:highlight w:val="none"/>
        </w:rPr>
      </w:pPr>
    </w:p>
    <w:p>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示</w:t>
      </w:r>
    </w:p>
    <w:p>
      <w:pPr>
        <w:widowControl/>
        <w:spacing w:line="480" w:lineRule="auto"/>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各谈判响应人：</w:t>
      </w:r>
    </w:p>
    <w:p>
      <w:pPr>
        <w:widowControl/>
        <w:spacing w:line="480" w:lineRule="auto"/>
        <w:ind w:firstLine="640" w:firstLineChars="200"/>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鉴于新冠肺炎疫情防控工作需要，要求如下：</w:t>
      </w:r>
      <w:r>
        <w:rPr>
          <w:rFonts w:ascii="仿宋" w:hAnsi="仿宋" w:eastAsia="仿宋" w:cs="仿宋"/>
          <w:bCs/>
          <w:color w:val="auto"/>
          <w:kern w:val="0"/>
          <w:sz w:val="32"/>
          <w:szCs w:val="32"/>
          <w:highlight w:val="none"/>
        </w:rPr>
        <w:t xml:space="preserve"> </w:t>
      </w:r>
    </w:p>
    <w:p>
      <w:pPr>
        <w:widowControl/>
        <w:spacing w:line="480" w:lineRule="auto"/>
        <w:ind w:firstLine="640" w:firstLineChars="200"/>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highlight w:val="none"/>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递交谈判响应文件前须提交疫情低风险区域证明；或提交响应文件截止时间</w:t>
      </w:r>
      <w:r>
        <w:rPr>
          <w:rFonts w:hint="eastAsia" w:ascii="仿宋" w:hAnsi="仿宋" w:eastAsia="仿宋" w:cs="仿宋"/>
          <w:bCs/>
          <w:color w:val="auto"/>
          <w:kern w:val="0"/>
          <w:sz w:val="32"/>
          <w:szCs w:val="32"/>
          <w:highlight w:val="none"/>
          <w:lang w:val="en-US" w:eastAsia="zh-CN"/>
        </w:rPr>
        <w:t>2</w:t>
      </w:r>
      <w:r>
        <w:rPr>
          <w:rFonts w:hint="eastAsia" w:ascii="仿宋" w:hAnsi="仿宋" w:eastAsia="仿宋" w:cs="仿宋"/>
          <w:bCs/>
          <w:color w:val="auto"/>
          <w:kern w:val="0"/>
          <w:sz w:val="32"/>
          <w:szCs w:val="32"/>
          <w:highlight w:val="none"/>
        </w:rPr>
        <w:t>日内核酸检测报告；或出示健康码。</w:t>
      </w:r>
    </w:p>
    <w:p>
      <w:pPr>
        <w:widowControl/>
        <w:spacing w:line="480" w:lineRule="auto"/>
        <w:ind w:firstLine="640" w:firstLineChars="200"/>
        <w:jc w:val="lef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1、</w:t>
      </w:r>
      <w:r>
        <w:rPr>
          <w:rFonts w:ascii="仿宋" w:hAnsi="仿宋" w:eastAsia="仿宋" w:cs="仿宋"/>
          <w:bCs/>
          <w:color w:val="auto"/>
          <w:kern w:val="0"/>
          <w:sz w:val="32"/>
          <w:szCs w:val="32"/>
          <w:highlight w:val="none"/>
        </w:rPr>
        <w:t>居民身份证上住址属于疫情低风险区域。疫情低风险区域的证明材料包括：</w:t>
      </w:r>
      <w:r>
        <w:rPr>
          <w:rFonts w:hint="eastAsia" w:ascii="仿宋" w:hAnsi="仿宋" w:eastAsia="仿宋" w:cs="仿宋"/>
          <w:bCs/>
          <w:color w:val="auto"/>
          <w:kern w:val="0"/>
          <w:sz w:val="32"/>
          <w:szCs w:val="32"/>
          <w:highlight w:val="none"/>
          <w:u w:val="single"/>
          <w:lang w:val="en-US" w:eastAsia="zh-CN"/>
        </w:rPr>
        <w:t>2022</w:t>
      </w:r>
      <w:r>
        <w:rPr>
          <w:rFonts w:hint="eastAsia" w:ascii="仿宋" w:hAnsi="仿宋" w:eastAsia="仿宋" w:cs="仿宋"/>
          <w:bCs/>
          <w:color w:val="auto"/>
          <w:kern w:val="0"/>
          <w:sz w:val="32"/>
          <w:szCs w:val="32"/>
          <w:highlight w:val="none"/>
          <w:u w:val="none"/>
          <w:lang w:val="en-US" w:eastAsia="zh-CN"/>
        </w:rPr>
        <w:t>年9月28日24</w:t>
      </w:r>
      <w:r>
        <w:rPr>
          <w:rFonts w:ascii="仿宋" w:hAnsi="仿宋" w:eastAsia="仿宋" w:cs="仿宋"/>
          <w:bCs/>
          <w:color w:val="auto"/>
          <w:kern w:val="0"/>
          <w:sz w:val="32"/>
          <w:szCs w:val="32"/>
          <w:highlight w:val="none"/>
          <w:u w:val="none"/>
        </w:rPr>
        <w:t>时</w:t>
      </w:r>
      <w:r>
        <w:rPr>
          <w:rFonts w:ascii="仿宋" w:hAnsi="仿宋" w:eastAsia="仿宋" w:cs="仿宋"/>
          <w:bCs/>
          <w:color w:val="auto"/>
          <w:kern w:val="0"/>
          <w:sz w:val="32"/>
          <w:szCs w:val="32"/>
          <w:highlight w:val="none"/>
        </w:rPr>
        <w:t>前最新发布的政府行政部门官网截图（或网址链接），或社居委或卫生主管部门等政府部门出具的书面证明材料；</w:t>
      </w:r>
    </w:p>
    <w:p>
      <w:pPr>
        <w:widowControl/>
        <w:spacing w:line="480" w:lineRule="auto"/>
        <w:ind w:firstLine="640" w:firstLineChars="200"/>
        <w:jc w:val="left"/>
        <w:rPr>
          <w:rFonts w:ascii="仿宋" w:hAnsi="仿宋" w:eastAsia="仿宋" w:cs="仿宋"/>
          <w:bCs/>
          <w:color w:val="auto"/>
          <w:kern w:val="0"/>
          <w:sz w:val="32"/>
          <w:szCs w:val="32"/>
          <w:highlight w:val="none"/>
        </w:rPr>
      </w:pPr>
      <w:r>
        <w:rPr>
          <w:rFonts w:ascii="仿宋" w:hAnsi="仿宋" w:eastAsia="仿宋" w:cs="仿宋"/>
          <w:bCs/>
          <w:color w:val="auto"/>
          <w:kern w:val="0"/>
          <w:sz w:val="32"/>
          <w:szCs w:val="32"/>
          <w:highlight w:val="none"/>
        </w:rPr>
        <w:t xml:space="preserve">    </w:t>
      </w:r>
      <w:r>
        <w:rPr>
          <w:rFonts w:hint="eastAsia" w:ascii="仿宋" w:hAnsi="仿宋" w:eastAsia="仿宋" w:cs="仿宋"/>
          <w:bCs/>
          <w:color w:val="auto"/>
          <w:kern w:val="0"/>
          <w:sz w:val="32"/>
          <w:szCs w:val="32"/>
          <w:highlight w:val="none"/>
        </w:rPr>
        <w:t>2、</w:t>
      </w:r>
      <w:r>
        <w:rPr>
          <w:rFonts w:ascii="仿宋" w:hAnsi="仿宋" w:eastAsia="仿宋" w:cs="仿宋"/>
          <w:bCs/>
          <w:color w:val="auto"/>
          <w:kern w:val="0"/>
          <w:sz w:val="32"/>
          <w:szCs w:val="32"/>
          <w:highlight w:val="none"/>
        </w:rPr>
        <w:t>健康码须为“绿码”。</w:t>
      </w:r>
    </w:p>
    <w:p>
      <w:pPr>
        <w:ind w:firstLine="640" w:firstLineChars="200"/>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二、鉴于新冠肺炎疫情防控工作需要，本项目将于开标前</w:t>
      </w:r>
      <w:r>
        <w:rPr>
          <w:rFonts w:hint="eastAsia" w:ascii="仿宋" w:hAnsi="仿宋" w:eastAsia="仿宋" w:cs="仿宋"/>
          <w:bCs/>
          <w:color w:val="auto"/>
          <w:kern w:val="0"/>
          <w:sz w:val="32"/>
          <w:szCs w:val="32"/>
          <w:highlight w:val="none"/>
          <w:lang w:val="en-US" w:eastAsia="zh-CN"/>
        </w:rPr>
        <w:t>半</w:t>
      </w:r>
      <w:r>
        <w:rPr>
          <w:rFonts w:hint="eastAsia" w:ascii="仿宋" w:hAnsi="仿宋" w:eastAsia="仿宋" w:cs="仿宋"/>
          <w:bCs/>
          <w:color w:val="auto"/>
          <w:kern w:val="0"/>
          <w:sz w:val="32"/>
          <w:szCs w:val="32"/>
          <w:highlight w:val="none"/>
        </w:rPr>
        <w:t>小时在安庆市皖宜项目咨询管理有限公司（龙山路21</w:t>
      </w:r>
      <w:r>
        <w:rPr>
          <w:rFonts w:hint="eastAsia" w:ascii="仿宋" w:hAnsi="仿宋" w:eastAsia="仿宋" w:cs="仿宋"/>
          <w:bCs/>
          <w:color w:val="auto"/>
          <w:kern w:val="0"/>
          <w:sz w:val="32"/>
          <w:szCs w:val="32"/>
          <w:highlight w:val="none"/>
          <w:lang w:val="en-US" w:eastAsia="zh-CN"/>
        </w:rPr>
        <w:t>3</w:t>
      </w:r>
      <w:r>
        <w:rPr>
          <w:rFonts w:hint="eastAsia" w:ascii="仿宋" w:hAnsi="仿宋" w:eastAsia="仿宋" w:cs="仿宋"/>
          <w:bCs/>
          <w:color w:val="auto"/>
          <w:kern w:val="0"/>
          <w:sz w:val="32"/>
          <w:szCs w:val="32"/>
          <w:highlight w:val="none"/>
        </w:rPr>
        <w:t>号）门口处接收</w:t>
      </w:r>
      <w:r>
        <w:rPr>
          <w:rFonts w:hint="eastAsia" w:ascii="仿宋" w:hAnsi="仿宋" w:eastAsia="仿宋" w:cs="仿宋"/>
          <w:bCs/>
          <w:color w:val="auto"/>
          <w:kern w:val="0"/>
          <w:sz w:val="32"/>
          <w:szCs w:val="32"/>
          <w:highlight w:val="none"/>
          <w:lang w:val="en-US" w:eastAsia="zh-CN"/>
        </w:rPr>
        <w:t>谈判</w:t>
      </w:r>
      <w:r>
        <w:rPr>
          <w:rFonts w:hint="eastAsia" w:ascii="仿宋" w:hAnsi="仿宋" w:eastAsia="仿宋" w:cs="仿宋"/>
          <w:bCs/>
          <w:color w:val="auto"/>
          <w:kern w:val="0"/>
          <w:sz w:val="32"/>
          <w:szCs w:val="32"/>
          <w:highlight w:val="none"/>
        </w:rPr>
        <w:t>响应文件，请供应商在递交响应文件前出示健康码（绿码）（或疫情低风险区域证明；或提交响应文件截止时间七日内核酸检测报告）、授权书、身份证。响应文件递交成功后可</w:t>
      </w:r>
      <w:r>
        <w:rPr>
          <w:rFonts w:hint="eastAsia" w:ascii="仿宋" w:hAnsi="仿宋" w:eastAsia="仿宋" w:cs="仿宋"/>
          <w:bCs/>
          <w:color w:val="auto"/>
          <w:kern w:val="0"/>
          <w:sz w:val="32"/>
          <w:szCs w:val="32"/>
          <w:highlight w:val="none"/>
          <w:lang w:val="en-US" w:eastAsia="zh-CN"/>
        </w:rPr>
        <w:t>暂时</w:t>
      </w:r>
      <w:r>
        <w:rPr>
          <w:rFonts w:hint="eastAsia" w:ascii="仿宋" w:hAnsi="仿宋" w:eastAsia="仿宋" w:cs="仿宋"/>
          <w:bCs/>
          <w:color w:val="auto"/>
          <w:kern w:val="0"/>
          <w:sz w:val="32"/>
          <w:szCs w:val="32"/>
          <w:highlight w:val="none"/>
        </w:rPr>
        <w:t>离开现场，如有询标或</w:t>
      </w:r>
      <w:r>
        <w:rPr>
          <w:rFonts w:hint="eastAsia" w:ascii="仿宋" w:hAnsi="仿宋" w:eastAsia="仿宋" w:cs="仿宋"/>
          <w:bCs/>
          <w:color w:val="auto"/>
          <w:kern w:val="0"/>
          <w:sz w:val="32"/>
          <w:szCs w:val="32"/>
          <w:highlight w:val="none"/>
          <w:lang w:val="en-US" w:eastAsia="zh-CN"/>
        </w:rPr>
        <w:t>谈判</w:t>
      </w:r>
      <w:r>
        <w:rPr>
          <w:rFonts w:hint="eastAsia" w:ascii="仿宋" w:hAnsi="仿宋" w:eastAsia="仿宋" w:cs="仿宋"/>
          <w:bCs/>
          <w:color w:val="auto"/>
          <w:kern w:val="0"/>
          <w:sz w:val="32"/>
          <w:szCs w:val="32"/>
          <w:highlight w:val="none"/>
        </w:rPr>
        <w:t>事宜将电话通知</w:t>
      </w:r>
      <w:r>
        <w:rPr>
          <w:rFonts w:hint="eastAsia" w:ascii="仿宋" w:hAnsi="仿宋" w:eastAsia="仿宋" w:cs="仿宋"/>
          <w:bCs/>
          <w:color w:val="auto"/>
          <w:kern w:val="0"/>
          <w:sz w:val="32"/>
          <w:szCs w:val="32"/>
          <w:highlight w:val="none"/>
          <w:lang w:eastAsia="zh-CN"/>
        </w:rPr>
        <w:t>（</w:t>
      </w:r>
      <w:r>
        <w:rPr>
          <w:rFonts w:hint="eastAsia" w:ascii="仿宋" w:hAnsi="仿宋" w:eastAsia="仿宋" w:cs="仿宋"/>
          <w:bCs/>
          <w:color w:val="auto"/>
          <w:kern w:val="0"/>
          <w:sz w:val="32"/>
          <w:szCs w:val="32"/>
          <w:highlight w:val="none"/>
        </w:rPr>
        <w:t>最终报价表</w:t>
      </w:r>
      <w:r>
        <w:rPr>
          <w:rFonts w:hint="eastAsia" w:ascii="仿宋" w:hAnsi="仿宋" w:eastAsia="仿宋" w:cs="仿宋"/>
          <w:bCs/>
          <w:color w:val="auto"/>
          <w:kern w:val="0"/>
          <w:sz w:val="32"/>
          <w:szCs w:val="32"/>
          <w:highlight w:val="none"/>
          <w:lang w:val="en-US" w:eastAsia="zh-CN"/>
        </w:rPr>
        <w:t>由各响应人谈判后现场递交</w:t>
      </w:r>
      <w:r>
        <w:rPr>
          <w:rFonts w:hint="eastAsia" w:ascii="仿宋" w:hAnsi="仿宋" w:eastAsia="仿宋" w:cs="仿宋"/>
          <w:bCs/>
          <w:color w:val="auto"/>
          <w:kern w:val="0"/>
          <w:sz w:val="32"/>
          <w:szCs w:val="32"/>
          <w:highlight w:val="none"/>
          <w:lang w:eastAsia="zh-CN"/>
        </w:rPr>
        <w:t>）</w:t>
      </w:r>
    </w:p>
    <w:p>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 xml:space="preserve">10.领导干部违反规定插手干预项目招投标活动。 </w:t>
      </w:r>
    </w:p>
    <w:p>
      <w:pPr>
        <w:widowControl/>
        <w:spacing w:line="480" w:lineRule="auto"/>
        <w:ind w:firstLine="482" w:firstLineChars="2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11.干部职工在招投标活动中与黑恶势力勾结，充当保护伞。</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1、请依据项目资格要求，自行核对营业执照合法有效。</w:t>
      </w:r>
    </w:p>
    <w:p>
      <w:pPr>
        <w:widowControl/>
        <w:spacing w:line="48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2、对投标活动中可能发生的质疑、投诉行为，须依法在规定的时间内提出。</w:t>
      </w:r>
    </w:p>
    <w:p>
      <w:pPr>
        <w:jc w:val="center"/>
        <w:rPr>
          <w:rFonts w:ascii="宋体" w:hAnsi="宋体" w:cs="宋体"/>
          <w:b/>
          <w:color w:val="000000"/>
          <w:sz w:val="36"/>
          <w:szCs w:val="36"/>
          <w:highlight w:val="none"/>
        </w:rPr>
      </w:pPr>
      <w:r>
        <w:rPr>
          <w:rFonts w:hint="eastAsia" w:ascii="宋体" w:hAnsi="宋体" w:cs="宋体"/>
          <w:b/>
          <w:color w:val="000000"/>
          <w:sz w:val="36"/>
          <w:szCs w:val="36"/>
          <w:highlight w:val="none"/>
        </w:rPr>
        <w:t>目   录</w:t>
      </w:r>
    </w:p>
    <w:p>
      <w:pPr>
        <w:pStyle w:val="19"/>
        <w:tabs>
          <w:tab w:val="right" w:leader="dot" w:pos="9070"/>
          <w:tab w:val="clear" w:pos="1260"/>
          <w:tab w:val="clear" w:pos="9060"/>
        </w:tabs>
        <w:rPr>
          <w:highlight w:val="none"/>
        </w:rPr>
      </w:pPr>
      <w:r>
        <w:rPr>
          <w:rFonts w:ascii="宋体" w:hAnsi="宋体" w:cs="宋体"/>
          <w:color w:val="000000"/>
          <w:highlight w:val="none"/>
        </w:rPr>
        <w:fldChar w:fldCharType="begin"/>
      </w:r>
      <w:r>
        <w:rPr>
          <w:rFonts w:ascii="宋体" w:hAnsi="宋体" w:cs="宋体"/>
          <w:color w:val="000000"/>
          <w:highlight w:val="none"/>
        </w:rPr>
        <w:instrText xml:space="preserve">TOC \o "1-1" \h \u </w:instrText>
      </w:r>
      <w:r>
        <w:rPr>
          <w:rFonts w:ascii="宋体" w:hAnsi="宋体" w:cs="宋体"/>
          <w:color w:val="000000"/>
          <w:highlight w:val="none"/>
        </w:rPr>
        <w:fldChar w:fldCharType="separate"/>
      </w:r>
      <w:r>
        <w:rPr>
          <w:highlight w:val="none"/>
        </w:rPr>
        <w:fldChar w:fldCharType="begin"/>
      </w:r>
      <w:r>
        <w:rPr>
          <w:highlight w:val="none"/>
        </w:rPr>
        <w:instrText xml:space="preserve"> HYPERLINK \l "_Toc19308" </w:instrText>
      </w:r>
      <w:r>
        <w:rPr>
          <w:highlight w:val="none"/>
        </w:rPr>
        <w:fldChar w:fldCharType="separate"/>
      </w:r>
      <w:r>
        <w:rPr>
          <w:rFonts w:hint="eastAsia" w:ascii="宋体" w:hAnsi="宋体" w:cs="宋体"/>
          <w:bCs/>
          <w:szCs w:val="32"/>
          <w:highlight w:val="none"/>
        </w:rPr>
        <w:t>第一章   竞争性谈判公告</w:t>
      </w:r>
      <w:r>
        <w:rPr>
          <w:highlight w:val="none"/>
        </w:rPr>
        <w:tab/>
      </w:r>
      <w:r>
        <w:rPr>
          <w:highlight w:val="none"/>
        </w:rPr>
        <w:fldChar w:fldCharType="begin"/>
      </w:r>
      <w:r>
        <w:rPr>
          <w:highlight w:val="none"/>
        </w:rPr>
        <w:instrText xml:space="preserve"> PAGEREF _Toc19308 \h </w:instrText>
      </w:r>
      <w:r>
        <w:rPr>
          <w:highlight w:val="none"/>
        </w:rPr>
        <w:fldChar w:fldCharType="separate"/>
      </w:r>
      <w:r>
        <w:rPr>
          <w:highlight w:val="none"/>
        </w:rPr>
        <w:t>1</w:t>
      </w:r>
      <w:r>
        <w:rPr>
          <w:highlight w:val="none"/>
        </w:rPr>
        <w:fldChar w:fldCharType="end"/>
      </w:r>
      <w:r>
        <w:rPr>
          <w:highlight w:val="none"/>
        </w:rPr>
        <w:fldChar w:fldCharType="end"/>
      </w:r>
    </w:p>
    <w:p>
      <w:pPr>
        <w:pStyle w:val="19"/>
        <w:tabs>
          <w:tab w:val="right" w:leader="dot" w:pos="9070"/>
          <w:tab w:val="clear" w:pos="1260"/>
          <w:tab w:val="clear" w:pos="9060"/>
        </w:tabs>
        <w:rPr>
          <w:highlight w:val="none"/>
        </w:rPr>
      </w:pPr>
      <w:r>
        <w:rPr>
          <w:highlight w:val="none"/>
        </w:rPr>
        <w:fldChar w:fldCharType="begin"/>
      </w:r>
      <w:r>
        <w:rPr>
          <w:highlight w:val="none"/>
        </w:rPr>
        <w:instrText xml:space="preserve"> HYPERLINK \l "_Toc26832" </w:instrText>
      </w:r>
      <w:r>
        <w:rPr>
          <w:highlight w:val="none"/>
        </w:rPr>
        <w:fldChar w:fldCharType="separate"/>
      </w:r>
      <w:r>
        <w:rPr>
          <w:rFonts w:hint="eastAsia" w:ascii="宋体" w:hAnsi="宋体" w:cs="宋体"/>
          <w:highlight w:val="none"/>
        </w:rPr>
        <w:t>第二章   谈判响应人须知</w:t>
      </w:r>
      <w:r>
        <w:rPr>
          <w:highlight w:val="none"/>
        </w:rPr>
        <w:tab/>
      </w:r>
      <w:r>
        <w:rPr>
          <w:highlight w:val="none"/>
        </w:rPr>
        <w:fldChar w:fldCharType="begin"/>
      </w:r>
      <w:r>
        <w:rPr>
          <w:highlight w:val="none"/>
        </w:rPr>
        <w:instrText xml:space="preserve"> PAGEREF _Toc26832 \h </w:instrText>
      </w:r>
      <w:r>
        <w:rPr>
          <w:highlight w:val="none"/>
        </w:rPr>
        <w:fldChar w:fldCharType="separate"/>
      </w:r>
      <w:r>
        <w:rPr>
          <w:highlight w:val="none"/>
        </w:rPr>
        <w:t>6</w:t>
      </w:r>
      <w:r>
        <w:rPr>
          <w:highlight w:val="none"/>
        </w:rPr>
        <w:fldChar w:fldCharType="end"/>
      </w:r>
      <w:r>
        <w:rPr>
          <w:highlight w:val="none"/>
        </w:rPr>
        <w:fldChar w:fldCharType="end"/>
      </w:r>
    </w:p>
    <w:p>
      <w:pPr>
        <w:pStyle w:val="19"/>
        <w:tabs>
          <w:tab w:val="right" w:leader="dot" w:pos="9070"/>
          <w:tab w:val="clear" w:pos="1260"/>
          <w:tab w:val="clear" w:pos="9060"/>
        </w:tabs>
        <w:rPr>
          <w:highlight w:val="none"/>
        </w:rPr>
      </w:pPr>
      <w:r>
        <w:rPr>
          <w:highlight w:val="none"/>
        </w:rPr>
        <w:fldChar w:fldCharType="begin"/>
      </w:r>
      <w:r>
        <w:rPr>
          <w:highlight w:val="none"/>
        </w:rPr>
        <w:instrText xml:space="preserve"> HYPERLINK \l "_Toc23889" </w:instrText>
      </w:r>
      <w:r>
        <w:rPr>
          <w:highlight w:val="none"/>
        </w:rPr>
        <w:fldChar w:fldCharType="separate"/>
      </w:r>
      <w:r>
        <w:rPr>
          <w:rFonts w:hint="eastAsia" w:ascii="宋体" w:hAnsi="宋体" w:cs="宋体"/>
          <w:highlight w:val="none"/>
        </w:rPr>
        <w:t>第三章   服务需求及技术要求</w:t>
      </w:r>
      <w:r>
        <w:rPr>
          <w:highlight w:val="none"/>
        </w:rPr>
        <w:tab/>
      </w:r>
      <w:r>
        <w:rPr>
          <w:highlight w:val="none"/>
        </w:rPr>
        <w:fldChar w:fldCharType="begin"/>
      </w:r>
      <w:r>
        <w:rPr>
          <w:highlight w:val="none"/>
        </w:rPr>
        <w:instrText xml:space="preserve"> PAGEREF _Toc23889 \h </w:instrText>
      </w:r>
      <w:r>
        <w:rPr>
          <w:highlight w:val="none"/>
        </w:rPr>
        <w:fldChar w:fldCharType="separate"/>
      </w:r>
      <w:r>
        <w:rPr>
          <w:highlight w:val="none"/>
        </w:rPr>
        <w:t>18</w:t>
      </w:r>
      <w:r>
        <w:rPr>
          <w:highlight w:val="none"/>
        </w:rPr>
        <w:fldChar w:fldCharType="end"/>
      </w:r>
      <w:r>
        <w:rPr>
          <w:highlight w:val="none"/>
        </w:rPr>
        <w:fldChar w:fldCharType="end"/>
      </w:r>
    </w:p>
    <w:p>
      <w:pPr>
        <w:pStyle w:val="19"/>
        <w:tabs>
          <w:tab w:val="right" w:leader="dot" w:pos="9070"/>
          <w:tab w:val="clear" w:pos="1260"/>
          <w:tab w:val="clear" w:pos="9060"/>
        </w:tabs>
        <w:rPr>
          <w:highlight w:val="none"/>
        </w:rPr>
      </w:pPr>
      <w:r>
        <w:rPr>
          <w:highlight w:val="none"/>
        </w:rPr>
        <w:fldChar w:fldCharType="begin"/>
      </w:r>
      <w:r>
        <w:rPr>
          <w:highlight w:val="none"/>
        </w:rPr>
        <w:instrText xml:space="preserve"> HYPERLINK \l "_Toc23604" </w:instrText>
      </w:r>
      <w:r>
        <w:rPr>
          <w:highlight w:val="none"/>
        </w:rPr>
        <w:fldChar w:fldCharType="separate"/>
      </w:r>
      <w:r>
        <w:rPr>
          <w:rFonts w:hint="eastAsia" w:ascii="宋体" w:hAnsi="宋体" w:cs="宋体"/>
          <w:highlight w:val="none"/>
        </w:rPr>
        <w:t>第四章   合同主要条款</w:t>
      </w:r>
      <w:r>
        <w:rPr>
          <w:highlight w:val="none"/>
        </w:rPr>
        <w:tab/>
      </w:r>
      <w:r>
        <w:rPr>
          <w:highlight w:val="none"/>
        </w:rPr>
        <w:fldChar w:fldCharType="begin"/>
      </w:r>
      <w:r>
        <w:rPr>
          <w:highlight w:val="none"/>
        </w:rPr>
        <w:instrText xml:space="preserve"> PAGEREF _Toc23604 \h </w:instrText>
      </w:r>
      <w:r>
        <w:rPr>
          <w:highlight w:val="none"/>
        </w:rPr>
        <w:fldChar w:fldCharType="separate"/>
      </w:r>
      <w:r>
        <w:rPr>
          <w:highlight w:val="none"/>
        </w:rPr>
        <w:t>18</w:t>
      </w:r>
      <w:r>
        <w:rPr>
          <w:highlight w:val="none"/>
        </w:rPr>
        <w:fldChar w:fldCharType="end"/>
      </w:r>
      <w:r>
        <w:rPr>
          <w:highlight w:val="none"/>
        </w:rPr>
        <w:fldChar w:fldCharType="end"/>
      </w:r>
    </w:p>
    <w:p>
      <w:pPr>
        <w:pStyle w:val="19"/>
        <w:tabs>
          <w:tab w:val="right" w:leader="dot" w:pos="9070"/>
          <w:tab w:val="clear" w:pos="1260"/>
          <w:tab w:val="clear" w:pos="9060"/>
        </w:tabs>
        <w:rPr>
          <w:highlight w:val="none"/>
        </w:rPr>
      </w:pPr>
      <w:r>
        <w:rPr>
          <w:highlight w:val="none"/>
        </w:rPr>
        <w:fldChar w:fldCharType="begin"/>
      </w:r>
      <w:r>
        <w:rPr>
          <w:highlight w:val="none"/>
        </w:rPr>
        <w:instrText xml:space="preserve"> HYPERLINK \l "_Toc17160" </w:instrText>
      </w:r>
      <w:r>
        <w:rPr>
          <w:highlight w:val="none"/>
        </w:rPr>
        <w:fldChar w:fldCharType="separate"/>
      </w:r>
      <w:r>
        <w:rPr>
          <w:rFonts w:hint="eastAsia" w:ascii="宋体" w:hAnsi="宋体" w:cs="宋体"/>
          <w:highlight w:val="none"/>
        </w:rPr>
        <w:t>第五章   谈判响应文件格式</w:t>
      </w:r>
      <w:r>
        <w:rPr>
          <w:highlight w:val="none"/>
        </w:rPr>
        <w:tab/>
      </w:r>
      <w:r>
        <w:rPr>
          <w:highlight w:val="none"/>
        </w:rPr>
        <w:fldChar w:fldCharType="begin"/>
      </w:r>
      <w:r>
        <w:rPr>
          <w:highlight w:val="none"/>
        </w:rPr>
        <w:instrText xml:space="preserve"> PAGEREF _Toc17160 \h </w:instrText>
      </w:r>
      <w:r>
        <w:rPr>
          <w:highlight w:val="none"/>
        </w:rPr>
        <w:fldChar w:fldCharType="separate"/>
      </w:r>
      <w:r>
        <w:rPr>
          <w:highlight w:val="none"/>
        </w:rPr>
        <w:t>24</w:t>
      </w:r>
      <w:r>
        <w:rPr>
          <w:highlight w:val="none"/>
        </w:rPr>
        <w:fldChar w:fldCharType="end"/>
      </w:r>
      <w:r>
        <w:rPr>
          <w:highlight w:val="none"/>
        </w:rPr>
        <w:fldChar w:fldCharType="end"/>
      </w:r>
    </w:p>
    <w:p>
      <w:pPr>
        <w:pStyle w:val="12"/>
        <w:tabs>
          <w:tab w:val="right" w:leader="dot" w:pos="9060"/>
        </w:tabs>
        <w:spacing w:line="240" w:lineRule="auto"/>
        <w:ind w:left="0" w:leftChars="0"/>
        <w:jc w:val="center"/>
        <w:outlineLvl w:val="0"/>
        <w:rPr>
          <w:rFonts w:ascii="宋体" w:hAnsi="宋体" w:cs="宋体"/>
          <w:color w:val="000000"/>
          <w:highlight w:val="none"/>
        </w:rPr>
      </w:pPr>
      <w:r>
        <w:rPr>
          <w:rFonts w:ascii="宋体" w:hAnsi="宋体" w:cs="宋体"/>
          <w:color w:val="000000"/>
          <w:highlight w:val="none"/>
        </w:rPr>
        <w:fldChar w:fldCharType="end"/>
      </w:r>
    </w:p>
    <w:p>
      <w:pPr>
        <w:pStyle w:val="12"/>
        <w:tabs>
          <w:tab w:val="right" w:leader="dot" w:pos="9060"/>
        </w:tabs>
        <w:spacing w:line="240" w:lineRule="auto"/>
        <w:ind w:left="0" w:leftChars="0"/>
        <w:jc w:val="center"/>
        <w:outlineLvl w:val="0"/>
        <w:rPr>
          <w:rFonts w:ascii="宋体" w:hAnsi="宋体" w:cs="宋体"/>
          <w:color w:val="000000"/>
          <w:highlight w:val="none"/>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000000"/>
          <w:highlight w:val="none"/>
        </w:rPr>
      </w:pPr>
    </w:p>
    <w:p>
      <w:pPr>
        <w:pStyle w:val="12"/>
        <w:tabs>
          <w:tab w:val="right" w:leader="dot" w:pos="9060"/>
        </w:tabs>
        <w:spacing w:line="240" w:lineRule="auto"/>
        <w:ind w:left="0" w:leftChars="0"/>
        <w:jc w:val="center"/>
        <w:outlineLvl w:val="0"/>
        <w:rPr>
          <w:rStyle w:val="37"/>
          <w:rFonts w:ascii="宋体" w:hAnsi="宋体" w:cs="宋体"/>
          <w:b/>
          <w:bCs/>
          <w:color w:val="000000"/>
          <w:sz w:val="32"/>
          <w:szCs w:val="32"/>
          <w:highlight w:val="none"/>
        </w:rPr>
      </w:pPr>
      <w:bookmarkStart w:id="0" w:name="_Toc54939187"/>
      <w:bookmarkStart w:id="1" w:name="_Toc19308"/>
      <w:r>
        <w:rPr>
          <w:rStyle w:val="37"/>
          <w:rFonts w:hint="eastAsia" w:ascii="宋体" w:hAnsi="宋体" w:cs="宋体"/>
          <w:b/>
          <w:bCs/>
          <w:color w:val="000000"/>
          <w:sz w:val="32"/>
          <w:szCs w:val="32"/>
          <w:highlight w:val="none"/>
        </w:rPr>
        <w:t>第一章   竞争性谈判公告</w:t>
      </w:r>
      <w:bookmarkEnd w:id="0"/>
      <w:bookmarkEnd w:id="1"/>
      <w:bookmarkStart w:id="2" w:name="_Toc28359011"/>
      <w:bookmarkStart w:id="3" w:name="_Toc35393797"/>
    </w:p>
    <w:p>
      <w:pPr>
        <w:pStyle w:val="12"/>
        <w:tabs>
          <w:tab w:val="right" w:leader="dot" w:pos="9060"/>
        </w:tabs>
        <w:spacing w:line="240" w:lineRule="auto"/>
        <w:ind w:left="0" w:leftChars="0"/>
        <w:jc w:val="center"/>
        <w:rPr>
          <w:rFonts w:ascii="华文中宋" w:hAnsi="华文中宋" w:eastAsia="华文中宋"/>
          <w:b/>
          <w:bCs/>
          <w:kern w:val="44"/>
          <w:sz w:val="32"/>
          <w:szCs w:val="32"/>
          <w:highlight w:val="none"/>
        </w:rPr>
      </w:pPr>
      <w:bookmarkStart w:id="106" w:name="_GoBack"/>
      <w:r>
        <w:rPr>
          <w:rFonts w:hint="eastAsia" w:ascii="华文中宋" w:hAnsi="华文中宋" w:eastAsia="华文中宋"/>
          <w:b/>
          <w:bCs/>
          <w:kern w:val="44"/>
          <w:sz w:val="32"/>
          <w:szCs w:val="32"/>
          <w:highlight w:val="none"/>
          <w:lang w:eastAsia="zh-CN"/>
        </w:rPr>
        <w:t xml:space="preserve"> 安庆火车站站前广场自动扶梯维修服务采购</w:t>
      </w:r>
      <w:r>
        <w:rPr>
          <w:rFonts w:hint="eastAsia" w:ascii="华文中宋" w:hAnsi="华文中宋" w:eastAsia="华文中宋"/>
          <w:b/>
          <w:bCs/>
          <w:kern w:val="44"/>
          <w:sz w:val="32"/>
          <w:szCs w:val="32"/>
          <w:highlight w:val="none"/>
        </w:rPr>
        <w:t>竞争性谈判公告</w:t>
      </w:r>
      <w:bookmarkEnd w:id="2"/>
      <w:bookmarkEnd w:id="3"/>
    </w:p>
    <w:tbl>
      <w:tblPr>
        <w:tblStyle w:val="25"/>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widowControl/>
              <w:spacing w:beforeAutospacing="1" w:afterAutospacing="1"/>
              <w:ind w:left="559" w:leftChars="266" w:firstLine="0" w:firstLineChars="0"/>
              <w:jc w:val="left"/>
              <w:rPr>
                <w:highlight w:val="none"/>
              </w:rPr>
            </w:pPr>
            <w:r>
              <w:rPr>
                <w:rFonts w:hint="eastAsia" w:ascii="仿宋" w:hAnsi="仿宋" w:eastAsia="仿宋"/>
                <w:sz w:val="28"/>
                <w:szCs w:val="28"/>
                <w:highlight w:val="none"/>
                <w:u w:val="single"/>
                <w:lang w:eastAsia="zh-CN"/>
              </w:rPr>
              <w:t xml:space="preserve"> 安庆火车站站前广场自动扶梯维修服务采购</w:t>
            </w:r>
            <w:r>
              <w:rPr>
                <w:rFonts w:hint="eastAsia" w:ascii="仿宋" w:hAnsi="仿宋" w:eastAsia="仿宋"/>
                <w:sz w:val="28"/>
                <w:szCs w:val="28"/>
                <w:highlight w:val="none"/>
              </w:rPr>
              <w:t>项目</w:t>
            </w:r>
            <w:r>
              <w:rPr>
                <w:rFonts w:hint="eastAsia" w:ascii="仿宋" w:hAnsi="仿宋" w:eastAsia="仿宋"/>
                <w:color w:val="auto"/>
                <w:sz w:val="28"/>
                <w:szCs w:val="28"/>
                <w:highlight w:val="none"/>
              </w:rPr>
              <w:t>的潜在供应商应于</w:t>
            </w:r>
            <w:r>
              <w:rPr>
                <w:rFonts w:hint="eastAsia" w:ascii="仿宋" w:hAnsi="仿宋" w:eastAsia="仿宋"/>
                <w:color w:val="auto"/>
                <w:sz w:val="28"/>
                <w:szCs w:val="28"/>
                <w:highlight w:val="none"/>
                <w:u w:val="none"/>
                <w:lang w:val="en-US" w:eastAsia="zh-CN"/>
              </w:rPr>
              <w:t>2022年9月29日9时30分</w:t>
            </w:r>
            <w:r>
              <w:rPr>
                <w:rFonts w:hint="eastAsia" w:ascii="仿宋" w:hAnsi="仿宋" w:eastAsia="仿宋"/>
                <w:color w:val="auto"/>
                <w:sz w:val="28"/>
                <w:szCs w:val="28"/>
                <w:highlight w:val="none"/>
              </w:rPr>
              <w:t>（北京时间）前提交响应文件。</w:t>
            </w:r>
          </w:p>
        </w:tc>
      </w:tr>
    </w:tbl>
    <w:p>
      <w:pPr>
        <w:rPr>
          <w:highlight w:val="none"/>
        </w:rPr>
      </w:pPr>
    </w:p>
    <w:p>
      <w:pPr>
        <w:keepNext/>
        <w:keepLines/>
        <w:spacing w:before="260" w:after="260" w:line="360" w:lineRule="auto"/>
        <w:rPr>
          <w:rFonts w:ascii="黑体" w:hAnsi="黑体" w:eastAsia="黑体" w:cs="宋体"/>
          <w:bCs/>
          <w:sz w:val="28"/>
          <w:szCs w:val="28"/>
          <w:highlight w:val="none"/>
        </w:rPr>
      </w:pPr>
      <w:bookmarkStart w:id="4" w:name="_Toc35393629"/>
      <w:bookmarkStart w:id="5" w:name="_Toc35393798"/>
      <w:bookmarkStart w:id="6" w:name="_Toc28359012"/>
      <w:bookmarkStart w:id="7" w:name="_Toc28359089"/>
      <w:r>
        <w:rPr>
          <w:rFonts w:hint="eastAsia" w:ascii="黑体" w:hAnsi="黑体" w:eastAsia="黑体" w:cs="宋体"/>
          <w:bCs/>
          <w:sz w:val="28"/>
          <w:szCs w:val="28"/>
          <w:highlight w:val="none"/>
        </w:rPr>
        <w:t>一、项目基本情况</w:t>
      </w:r>
      <w:bookmarkEnd w:id="4"/>
      <w:bookmarkEnd w:id="5"/>
      <w:bookmarkEnd w:id="6"/>
      <w:bookmarkEnd w:id="7"/>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项目编号：CG-AQ-W2022-</w:t>
      </w:r>
      <w:r>
        <w:rPr>
          <w:rFonts w:hint="eastAsia" w:ascii="仿宋" w:hAnsi="仿宋" w:eastAsia="仿宋"/>
          <w:sz w:val="28"/>
          <w:szCs w:val="28"/>
          <w:highlight w:val="none"/>
          <w:lang w:val="en-US" w:eastAsia="zh-CN"/>
        </w:rPr>
        <w:t>109</w:t>
      </w:r>
    </w:p>
    <w:p>
      <w:pPr>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安庆火车站站前广场自动扶梯维修服务采购</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cs="仿宋"/>
          <w:sz w:val="28"/>
          <w:szCs w:val="28"/>
          <w:highlight w:val="none"/>
        </w:rPr>
        <w:t>竞争性谈判</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44万元</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最高限价：44万元</w:t>
      </w:r>
    </w:p>
    <w:p>
      <w:pPr>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采购需求：安庆火车站站前广场4台自动扶梯（恒达富士）大修</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详见附件。</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评标办法：采用符合性评审的有效最低价评审办法</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自合同签订之日起两个月完成。</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本项目不接受联合体。</w:t>
      </w:r>
    </w:p>
    <w:p>
      <w:pPr>
        <w:keepNext/>
        <w:keepLines/>
        <w:spacing w:before="260" w:after="260" w:line="360" w:lineRule="auto"/>
        <w:rPr>
          <w:rFonts w:ascii="黑体" w:hAnsi="黑体" w:eastAsia="黑体" w:cs="宋体"/>
          <w:bCs/>
          <w:sz w:val="28"/>
          <w:szCs w:val="28"/>
          <w:highlight w:val="none"/>
        </w:rPr>
      </w:pPr>
      <w:bookmarkStart w:id="8" w:name="_Toc35393799"/>
      <w:bookmarkStart w:id="9" w:name="_Toc28359013"/>
      <w:bookmarkStart w:id="10" w:name="_Toc35393630"/>
      <w:bookmarkStart w:id="11" w:name="_Toc28359090"/>
      <w:r>
        <w:rPr>
          <w:rFonts w:hint="eastAsia" w:ascii="黑体" w:hAnsi="黑体" w:eastAsia="黑体" w:cs="宋体"/>
          <w:bCs/>
          <w:sz w:val="28"/>
          <w:szCs w:val="28"/>
          <w:highlight w:val="none"/>
        </w:rPr>
        <w:t>二、申请人的资格要求：</w:t>
      </w:r>
      <w:bookmarkEnd w:id="8"/>
      <w:bookmarkEnd w:id="9"/>
      <w:bookmarkEnd w:id="10"/>
      <w:bookmarkEnd w:id="11"/>
    </w:p>
    <w:p>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1.满足《中华人民共和国政府采购法》第二十二条规定；</w:t>
      </w:r>
    </w:p>
    <w:p>
      <w:pPr>
        <w:spacing w:line="360" w:lineRule="auto"/>
        <w:ind w:firstLine="540"/>
        <w:rPr>
          <w:rFonts w:hint="eastAsia" w:ascii="仿宋" w:hAnsi="仿宋" w:eastAsia="仿宋" w:cs="宋体"/>
          <w:sz w:val="28"/>
          <w:szCs w:val="28"/>
          <w:highlight w:val="none"/>
        </w:rPr>
      </w:pPr>
      <w:bookmarkStart w:id="12" w:name="_Toc28359014"/>
      <w:bookmarkStart w:id="13" w:name="_Toc28359091"/>
      <w:r>
        <w:rPr>
          <w:rFonts w:hint="eastAsia" w:ascii="仿宋" w:hAnsi="仿宋" w:eastAsia="仿宋" w:cs="宋体"/>
          <w:sz w:val="28"/>
          <w:szCs w:val="28"/>
          <w:highlight w:val="none"/>
        </w:rPr>
        <w:t>2.落实政府采购政策需满足的资格要求：/</w:t>
      </w:r>
    </w:p>
    <w:p>
      <w:pPr>
        <w:spacing w:line="360" w:lineRule="auto"/>
        <w:ind w:firstLine="540"/>
        <w:rPr>
          <w:rFonts w:hint="eastAsia" w:ascii="仿宋" w:hAnsi="仿宋" w:eastAsia="仿宋" w:cs="宋体"/>
          <w:b/>
          <w:bCs/>
          <w:sz w:val="28"/>
          <w:szCs w:val="28"/>
          <w:highlight w:val="none"/>
          <w:lang w:eastAsia="zh-CN"/>
        </w:rPr>
      </w:pPr>
      <w:r>
        <w:rPr>
          <w:rFonts w:hint="eastAsia" w:ascii="仿宋" w:hAnsi="仿宋" w:eastAsia="仿宋" w:cs="宋体"/>
          <w:sz w:val="28"/>
          <w:szCs w:val="28"/>
          <w:highlight w:val="none"/>
        </w:rPr>
        <w:t>3.本项目的特定资格要求：</w:t>
      </w:r>
      <w:r>
        <w:rPr>
          <w:rFonts w:hint="eastAsia" w:ascii="仿宋" w:hAnsi="仿宋" w:eastAsia="仿宋" w:cs="宋体"/>
          <w:b/>
          <w:bCs/>
          <w:sz w:val="28"/>
          <w:szCs w:val="28"/>
          <w:highlight w:val="none"/>
        </w:rPr>
        <w:t>具有自动扶梯的安装、维修（或修理）资质（有效期内）</w:t>
      </w:r>
      <w:r>
        <w:rPr>
          <w:rFonts w:hint="eastAsia" w:ascii="仿宋" w:hAnsi="仿宋" w:eastAsia="仿宋" w:cs="宋体"/>
          <w:b/>
          <w:bCs/>
          <w:sz w:val="28"/>
          <w:szCs w:val="28"/>
          <w:highlight w:val="none"/>
          <w:lang w:eastAsia="zh-CN"/>
        </w:rPr>
        <w:t>。</w:t>
      </w:r>
    </w:p>
    <w:p>
      <w:pPr>
        <w:keepNext/>
        <w:keepLines/>
        <w:spacing w:before="260" w:after="260" w:line="360" w:lineRule="auto"/>
        <w:rPr>
          <w:rFonts w:ascii="黑体" w:hAnsi="黑体" w:eastAsia="黑体" w:cs="宋体"/>
          <w:bCs/>
          <w:sz w:val="28"/>
          <w:szCs w:val="28"/>
          <w:highlight w:val="none"/>
        </w:rPr>
      </w:pPr>
      <w:bookmarkStart w:id="14" w:name="_Toc35393800"/>
      <w:bookmarkStart w:id="15" w:name="_Toc35393631"/>
      <w:r>
        <w:rPr>
          <w:rFonts w:hint="eastAsia" w:ascii="黑体" w:hAnsi="黑体" w:eastAsia="黑体" w:cs="宋体"/>
          <w:bCs/>
          <w:sz w:val="28"/>
          <w:szCs w:val="28"/>
          <w:highlight w:val="none"/>
        </w:rPr>
        <w:t>三、获取采购文件</w:t>
      </w:r>
      <w:bookmarkEnd w:id="12"/>
      <w:bookmarkEnd w:id="13"/>
      <w:bookmarkEnd w:id="14"/>
      <w:bookmarkEnd w:id="15"/>
    </w:p>
    <w:p>
      <w:pPr>
        <w:ind w:firstLine="565" w:firstLineChars="202"/>
        <w:rPr>
          <w:rFonts w:ascii="仿宋" w:hAnsi="仿宋" w:eastAsia="仿宋" w:cs="宋体"/>
          <w:sz w:val="28"/>
          <w:szCs w:val="28"/>
          <w:highlight w:val="none"/>
        </w:rPr>
      </w:pPr>
      <w:bookmarkStart w:id="16" w:name="_Toc35393632"/>
      <w:bookmarkStart w:id="17" w:name="_Toc35393801"/>
      <w:bookmarkStart w:id="18" w:name="_Toc28359015"/>
      <w:bookmarkStart w:id="19" w:name="_Toc28359092"/>
      <w:r>
        <w:rPr>
          <w:rFonts w:hint="eastAsia" w:ascii="仿宋" w:hAnsi="仿宋" w:eastAsia="仿宋" w:cs="仿宋"/>
          <w:kern w:val="0"/>
          <w:sz w:val="28"/>
          <w:szCs w:val="28"/>
          <w:highlight w:val="none"/>
        </w:rPr>
        <w:t>1、请确定参加</w:t>
      </w:r>
      <w:r>
        <w:rPr>
          <w:rFonts w:hint="eastAsia" w:ascii="仿宋" w:hAnsi="仿宋" w:eastAsia="仿宋" w:cs="仿宋"/>
          <w:kern w:val="0"/>
          <w:sz w:val="28"/>
          <w:szCs w:val="28"/>
          <w:highlight w:val="none"/>
          <w:lang w:val="en-US" w:eastAsia="zh-CN"/>
        </w:rPr>
        <w:t>谈判</w:t>
      </w:r>
      <w:r>
        <w:rPr>
          <w:rFonts w:hint="eastAsia" w:ascii="仿宋" w:hAnsi="仿宋" w:eastAsia="仿宋" w:cs="仿宋"/>
          <w:kern w:val="0"/>
          <w:sz w:val="28"/>
          <w:szCs w:val="28"/>
          <w:highlight w:val="none"/>
        </w:rPr>
        <w:t>的响应人于2022年</w:t>
      </w:r>
      <w:r>
        <w:rPr>
          <w:rFonts w:hint="eastAsia" w:ascii="仿宋" w:hAnsi="仿宋" w:eastAsia="仿宋" w:cs="仿宋"/>
          <w:kern w:val="0"/>
          <w:sz w:val="28"/>
          <w:szCs w:val="28"/>
          <w:highlight w:val="none"/>
          <w:lang w:val="en-US" w:eastAsia="zh-CN"/>
        </w:rPr>
        <w:t>9</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23</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17</w:t>
      </w:r>
      <w:r>
        <w:rPr>
          <w:rFonts w:hint="eastAsia" w:ascii="仿宋" w:hAnsi="仿宋" w:eastAsia="仿宋" w:cs="仿宋"/>
          <w:kern w:val="0"/>
          <w:sz w:val="28"/>
          <w:szCs w:val="28"/>
          <w:highlight w:val="none"/>
        </w:rPr>
        <w:t>时</w:t>
      </w:r>
      <w:r>
        <w:rPr>
          <w:rFonts w:hint="eastAsia" w:ascii="仿宋" w:hAnsi="仿宋" w:eastAsia="仿宋" w:cs="仿宋"/>
          <w:kern w:val="0"/>
          <w:sz w:val="28"/>
          <w:szCs w:val="28"/>
          <w:highlight w:val="none"/>
          <w:lang w:val="en-US" w:eastAsia="zh-CN"/>
        </w:rPr>
        <w:t>30</w:t>
      </w:r>
      <w:r>
        <w:rPr>
          <w:rFonts w:hint="eastAsia" w:ascii="仿宋" w:hAnsi="仿宋" w:eastAsia="仿宋" w:cs="仿宋"/>
          <w:kern w:val="0"/>
          <w:sz w:val="28"/>
          <w:szCs w:val="28"/>
          <w:highlight w:val="none"/>
        </w:rPr>
        <w:t>分前，将盖公章的确认回执函（详见附件）及缴纳工本费的转账截图发送至邮箱</w:t>
      </w:r>
      <w:r>
        <w:rPr>
          <w:rFonts w:hint="eastAsia" w:ascii="仿宋" w:hAnsi="仿宋" w:eastAsia="仿宋" w:cs="仿宋"/>
          <w:kern w:val="0"/>
          <w:sz w:val="28"/>
          <w:szCs w:val="28"/>
          <w:highlight w:val="none"/>
          <w:lang w:val="en-US" w:eastAsia="zh-CN"/>
        </w:rPr>
        <w:t>1436856621</w:t>
      </w:r>
      <w:r>
        <w:rPr>
          <w:rFonts w:hint="eastAsia" w:ascii="仿宋" w:hAnsi="仿宋" w:eastAsia="仿宋" w:cs="仿宋"/>
          <w:kern w:val="0"/>
          <w:sz w:val="28"/>
          <w:szCs w:val="28"/>
          <w:highlight w:val="none"/>
        </w:rPr>
        <w:t>@qq.com。</w:t>
      </w:r>
    </w:p>
    <w:p>
      <w:pPr>
        <w:ind w:firstLine="568" w:firstLineChars="202"/>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2、</w:t>
      </w:r>
      <w:r>
        <w:rPr>
          <w:rFonts w:hint="eastAsia" w:ascii="仿宋" w:hAnsi="仿宋" w:eastAsia="仿宋" w:cs="仿宋"/>
          <w:b/>
          <w:bCs/>
          <w:kern w:val="0"/>
          <w:sz w:val="28"/>
          <w:szCs w:val="28"/>
          <w:highlight w:val="none"/>
          <w:lang w:val="en-US" w:eastAsia="zh-CN"/>
        </w:rPr>
        <w:t>谈判</w:t>
      </w:r>
      <w:r>
        <w:rPr>
          <w:rFonts w:hint="eastAsia" w:ascii="仿宋" w:hAnsi="仿宋" w:eastAsia="仿宋" w:cs="仿宋"/>
          <w:b/>
          <w:bCs/>
          <w:kern w:val="0"/>
          <w:sz w:val="28"/>
          <w:szCs w:val="28"/>
          <w:highlight w:val="none"/>
        </w:rPr>
        <w:t>文件及相关资料工本费：人民币400元/套，售后不退。</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开户名：安庆皖宜高科工程咨询有限公司</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开户行：兴业银行安庆分行</w:t>
      </w:r>
    </w:p>
    <w:p>
      <w:pPr>
        <w:ind w:firstLine="565" w:firstLineChars="202"/>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账户：4970 1010 0100 4447 16</w:t>
      </w:r>
    </w:p>
    <w:p>
      <w:pPr>
        <w:ind w:firstLine="565" w:firstLineChars="202"/>
        <w:rPr>
          <w:rFonts w:ascii="仿宋" w:hAnsi="仿宋" w:eastAsia="仿宋" w:cs="仿宋"/>
          <w:kern w:val="0"/>
          <w:sz w:val="28"/>
          <w:szCs w:val="28"/>
          <w:highlight w:val="none"/>
        </w:rPr>
      </w:pPr>
      <w:r>
        <w:rPr>
          <w:rFonts w:hint="eastAsia" w:ascii="仿宋" w:hAnsi="仿宋" w:eastAsia="仿宋" w:cs="仿宋"/>
          <w:kern w:val="0"/>
          <w:sz w:val="28"/>
          <w:szCs w:val="28"/>
          <w:highlight w:val="none"/>
        </w:rPr>
        <w:t>若为自然人转账工本费必须在转账备注中写明供应商名称。若自然人转账工本费未备注供应商名称的，转账截图发至邮箱的同时，必须要附上供应商对该人的授权书（授权该人对这个项目转账工本费及获得</w:t>
      </w:r>
      <w:r>
        <w:rPr>
          <w:rFonts w:hint="eastAsia" w:ascii="仿宋" w:hAnsi="仿宋" w:eastAsia="仿宋" w:cs="仿宋"/>
          <w:kern w:val="0"/>
          <w:sz w:val="28"/>
          <w:szCs w:val="28"/>
          <w:highlight w:val="none"/>
          <w:lang w:val="en-US" w:eastAsia="zh-CN"/>
        </w:rPr>
        <w:t>谈判</w:t>
      </w:r>
      <w:r>
        <w:rPr>
          <w:rFonts w:hint="eastAsia" w:ascii="仿宋" w:hAnsi="仿宋" w:eastAsia="仿宋" w:cs="仿宋"/>
          <w:kern w:val="0"/>
          <w:sz w:val="28"/>
          <w:szCs w:val="28"/>
          <w:highlight w:val="none"/>
        </w:rPr>
        <w:t>文件，加盖供应商公章）。</w:t>
      </w:r>
    </w:p>
    <w:p>
      <w:pPr>
        <w:keepNext/>
        <w:keepLines/>
        <w:spacing w:before="260" w:after="260" w:line="360" w:lineRule="auto"/>
        <w:rPr>
          <w:rFonts w:ascii="黑体" w:hAnsi="黑体" w:eastAsia="黑体" w:cs="宋体"/>
          <w:bCs/>
          <w:sz w:val="28"/>
          <w:szCs w:val="28"/>
          <w:highlight w:val="none"/>
        </w:rPr>
      </w:pPr>
      <w:r>
        <w:rPr>
          <w:rFonts w:hint="eastAsia" w:ascii="黑体" w:hAnsi="黑体" w:eastAsia="黑体" w:cs="宋体"/>
          <w:bCs/>
          <w:sz w:val="28"/>
          <w:szCs w:val="28"/>
          <w:highlight w:val="none"/>
        </w:rPr>
        <w:t>四、响应文件提交</w:t>
      </w:r>
      <w:bookmarkEnd w:id="16"/>
      <w:bookmarkEnd w:id="17"/>
      <w:bookmarkEnd w:id="18"/>
      <w:bookmarkEnd w:id="19"/>
    </w:p>
    <w:p>
      <w:pPr>
        <w:ind w:firstLine="565" w:firstLineChars="202"/>
        <w:rPr>
          <w:rFonts w:ascii="仿宋" w:hAnsi="仿宋" w:eastAsia="仿宋"/>
          <w:bCs/>
          <w:sz w:val="28"/>
          <w:szCs w:val="28"/>
          <w:highlight w:val="none"/>
          <w:u w:val="single"/>
        </w:rPr>
      </w:pPr>
      <w:bookmarkStart w:id="20" w:name="_Toc28359093"/>
      <w:bookmarkStart w:id="21" w:name="_Toc28359016"/>
      <w:bookmarkStart w:id="22" w:name="_Toc35393802"/>
      <w:bookmarkStart w:id="23" w:name="_Toc35393633"/>
      <w:r>
        <w:rPr>
          <w:rFonts w:hint="eastAsia" w:ascii="仿宋" w:hAnsi="仿宋" w:eastAsia="仿宋"/>
          <w:sz w:val="28"/>
          <w:szCs w:val="28"/>
          <w:highlight w:val="none"/>
        </w:rPr>
        <w:t>截止时间：2022年9月29日9时30分</w:t>
      </w:r>
      <w:r>
        <w:rPr>
          <w:rFonts w:hint="eastAsia" w:ascii="仿宋" w:hAnsi="仿宋" w:eastAsia="仿宋"/>
          <w:bCs/>
          <w:sz w:val="28"/>
          <w:szCs w:val="28"/>
          <w:highlight w:val="none"/>
        </w:rPr>
        <w:t>（北京时间）</w:t>
      </w:r>
    </w:p>
    <w:p>
      <w:pPr>
        <w:widowControl/>
        <w:shd w:val="clear" w:color="auto" w:fill="FFFFFF"/>
        <w:spacing w:line="560" w:lineRule="exact"/>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仿宋"/>
          <w:kern w:val="0"/>
          <w:sz w:val="28"/>
          <w:szCs w:val="28"/>
          <w:highlight w:val="none"/>
        </w:rPr>
        <w:t>安庆市龙山路213号</w:t>
      </w:r>
    </w:p>
    <w:p>
      <w:pPr>
        <w:keepNext/>
        <w:keepLines/>
        <w:spacing w:before="260" w:after="260" w:line="360" w:lineRule="auto"/>
        <w:rPr>
          <w:rFonts w:ascii="黑体" w:hAnsi="黑体" w:eastAsia="黑体" w:cs="宋体"/>
          <w:bCs/>
          <w:sz w:val="28"/>
          <w:szCs w:val="28"/>
          <w:highlight w:val="none"/>
        </w:rPr>
      </w:pPr>
      <w:r>
        <w:rPr>
          <w:rFonts w:hint="eastAsia" w:ascii="黑体" w:hAnsi="黑体" w:eastAsia="黑体" w:cs="宋体"/>
          <w:bCs/>
          <w:sz w:val="28"/>
          <w:szCs w:val="28"/>
          <w:highlight w:val="none"/>
        </w:rPr>
        <w:t>五、开启</w:t>
      </w:r>
      <w:bookmarkEnd w:id="20"/>
      <w:bookmarkEnd w:id="21"/>
      <w:bookmarkEnd w:id="22"/>
      <w:bookmarkEnd w:id="23"/>
    </w:p>
    <w:p>
      <w:pPr>
        <w:ind w:firstLine="565" w:firstLineChars="202"/>
        <w:rPr>
          <w:rFonts w:ascii="仿宋" w:hAnsi="仿宋" w:eastAsia="仿宋" w:cs="宋体"/>
          <w:kern w:val="0"/>
          <w:sz w:val="28"/>
          <w:szCs w:val="28"/>
          <w:highlight w:val="none"/>
        </w:rPr>
      </w:pPr>
      <w:bookmarkStart w:id="24" w:name="_Toc35393634"/>
      <w:bookmarkStart w:id="25" w:name="_Toc35393803"/>
      <w:bookmarkStart w:id="26" w:name="_Toc28359094"/>
      <w:bookmarkStart w:id="27" w:name="_Toc28359017"/>
      <w:r>
        <w:rPr>
          <w:rFonts w:hint="eastAsia" w:ascii="仿宋" w:hAnsi="仿宋" w:eastAsia="仿宋" w:cs="宋体"/>
          <w:kern w:val="0"/>
          <w:sz w:val="28"/>
          <w:szCs w:val="28"/>
          <w:highlight w:val="none"/>
        </w:rPr>
        <w:t>时间：2022年9月29日9时30分</w:t>
      </w:r>
      <w:r>
        <w:rPr>
          <w:rFonts w:hint="eastAsia" w:ascii="仿宋" w:hAnsi="仿宋" w:eastAsia="仿宋"/>
          <w:bCs/>
          <w:sz w:val="28"/>
          <w:szCs w:val="28"/>
          <w:highlight w:val="none"/>
        </w:rPr>
        <w:t>（北京时间）</w:t>
      </w:r>
    </w:p>
    <w:p>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地点：</w:t>
      </w:r>
      <w:r>
        <w:rPr>
          <w:rFonts w:hint="eastAsia" w:ascii="仿宋" w:hAnsi="仿宋" w:eastAsia="仿宋" w:cs="仿宋"/>
          <w:kern w:val="0"/>
          <w:sz w:val="28"/>
          <w:szCs w:val="28"/>
          <w:highlight w:val="none"/>
        </w:rPr>
        <w:t>安庆市龙山路213号</w:t>
      </w:r>
    </w:p>
    <w:p>
      <w:pPr>
        <w:keepNext/>
        <w:keepLines/>
        <w:spacing w:before="260" w:after="260" w:line="360" w:lineRule="auto"/>
        <w:rPr>
          <w:rFonts w:ascii="黑体" w:hAnsi="黑体" w:eastAsia="黑体" w:cs="宋体"/>
          <w:bCs/>
          <w:sz w:val="28"/>
          <w:szCs w:val="28"/>
          <w:highlight w:val="none"/>
        </w:rPr>
      </w:pPr>
      <w:r>
        <w:rPr>
          <w:rFonts w:hint="eastAsia" w:ascii="黑体" w:hAnsi="黑体" w:eastAsia="黑体" w:cs="宋体"/>
          <w:bCs/>
          <w:sz w:val="28"/>
          <w:szCs w:val="28"/>
          <w:highlight w:val="none"/>
        </w:rPr>
        <w:t>六、公告期限</w:t>
      </w:r>
      <w:bookmarkEnd w:id="24"/>
      <w:bookmarkEnd w:id="25"/>
      <w:bookmarkEnd w:id="26"/>
      <w:bookmarkEnd w:id="27"/>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pPr>
        <w:keepNext/>
        <w:keepLines/>
        <w:spacing w:before="260" w:after="260" w:line="360" w:lineRule="auto"/>
        <w:rPr>
          <w:rFonts w:ascii="黑体" w:hAnsi="黑体" w:eastAsia="黑体" w:cs="宋体"/>
          <w:bCs/>
          <w:sz w:val="28"/>
          <w:szCs w:val="28"/>
          <w:highlight w:val="none"/>
        </w:rPr>
      </w:pPr>
      <w:bookmarkStart w:id="28" w:name="_Toc35393804"/>
      <w:bookmarkStart w:id="29" w:name="_Toc35393635"/>
      <w:r>
        <w:rPr>
          <w:rFonts w:hint="eastAsia" w:ascii="黑体" w:hAnsi="黑体" w:eastAsia="黑体" w:cs="宋体"/>
          <w:bCs/>
          <w:sz w:val="28"/>
          <w:szCs w:val="28"/>
          <w:highlight w:val="none"/>
        </w:rPr>
        <w:t>七、其他补充事宜</w:t>
      </w:r>
      <w:bookmarkEnd w:id="28"/>
      <w:bookmarkEnd w:id="29"/>
    </w:p>
    <w:p>
      <w:pPr>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highlight w:val="none"/>
        </w:rPr>
      </w:pPr>
      <w:bookmarkStart w:id="30" w:name="_Toc28359018"/>
      <w:bookmarkStart w:id="31" w:name="_Toc35393805"/>
      <w:bookmarkStart w:id="32" w:name="_Toc35393636"/>
      <w:bookmarkStart w:id="33" w:name="_Toc28359095"/>
      <w:r>
        <w:rPr>
          <w:rFonts w:ascii="仿宋" w:hAnsi="仿宋" w:eastAsia="仿宋"/>
          <w:sz w:val="28"/>
          <w:szCs w:val="28"/>
          <w:highlight w:val="none"/>
        </w:rPr>
        <w:t>2.</w:t>
      </w:r>
      <w:r>
        <w:rPr>
          <w:rFonts w:hint="eastAsia" w:ascii="仿宋" w:hAnsi="仿宋" w:eastAsia="仿宋" w:cs="仿宋"/>
          <w:kern w:val="0"/>
          <w:sz w:val="28"/>
          <w:szCs w:val="28"/>
          <w:highlight w:val="none"/>
        </w:rPr>
        <w:t>本竞争性</w:t>
      </w:r>
      <w:r>
        <w:rPr>
          <w:rFonts w:hint="eastAsia" w:ascii="仿宋" w:hAnsi="仿宋" w:eastAsia="仿宋" w:cs="仿宋"/>
          <w:kern w:val="0"/>
          <w:sz w:val="28"/>
          <w:szCs w:val="28"/>
          <w:highlight w:val="none"/>
          <w:lang w:val="en-US" w:eastAsia="zh-CN"/>
        </w:rPr>
        <w:t>谈判</w:t>
      </w:r>
      <w:r>
        <w:rPr>
          <w:rFonts w:hint="eastAsia" w:ascii="仿宋" w:hAnsi="仿宋" w:eastAsia="仿宋" w:cs="仿宋"/>
          <w:kern w:val="0"/>
          <w:sz w:val="28"/>
          <w:szCs w:val="28"/>
          <w:highlight w:val="none"/>
        </w:rPr>
        <w:t>文件的澄清、修改、补充说明等内容均通过安庆市皖宜咨询管理有限公司（http://www.wyxmzx.com/）和安庆经济技术开发区（http://aqdz.anqing.gov.cn/xwzx/tzgg/index.html）</w:t>
      </w:r>
      <w:r>
        <w:rPr>
          <w:rFonts w:hint="eastAsia" w:ascii="仿宋" w:hAnsi="仿宋" w:eastAsia="仿宋" w:cs="仿宋"/>
          <w:kern w:val="0"/>
          <w:sz w:val="28"/>
          <w:szCs w:val="28"/>
          <w:highlight w:val="none"/>
          <w:lang w:eastAsia="zh-CN"/>
        </w:rPr>
        <w:t>、</w:t>
      </w:r>
      <w:r>
        <w:rPr>
          <w:rFonts w:hint="eastAsia" w:ascii="仿宋" w:hAnsi="仿宋" w:eastAsia="仿宋" w:cs="仿宋"/>
          <w:sz w:val="28"/>
          <w:szCs w:val="28"/>
          <w:highlight w:val="none"/>
          <w:lang w:eastAsia="zh-CN"/>
        </w:rPr>
        <w:t>安庆皖江高科技投资发展有限公司（</w:t>
      </w:r>
      <w:r>
        <w:rPr>
          <w:rFonts w:hint="eastAsia" w:ascii="仿宋" w:hAnsi="仿宋" w:eastAsia="仿宋" w:cs="仿宋"/>
          <w:sz w:val="28"/>
          <w:szCs w:val="28"/>
          <w:highlight w:val="none"/>
        </w:rPr>
        <w:t>http://www.wanjianggaoke.com</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发布，请务必随时关注，以免影响响应文件编制，因供应商未及时关注相关信息对投标造成的不利后果由其自行承担。</w:t>
      </w:r>
    </w:p>
    <w:p>
      <w:pPr>
        <w:ind w:firstLine="565" w:firstLineChars="202"/>
        <w:rPr>
          <w:rFonts w:ascii="仿宋" w:hAnsi="仿宋" w:eastAsia="仿宋"/>
          <w:sz w:val="28"/>
          <w:szCs w:val="28"/>
          <w:highlight w:val="none"/>
        </w:rPr>
      </w:pPr>
      <w:r>
        <w:rPr>
          <w:rFonts w:hint="eastAsia" w:ascii="仿宋" w:hAnsi="仿宋" w:eastAsia="仿宋" w:cs="仿宋"/>
          <w:kern w:val="0"/>
          <w:sz w:val="28"/>
          <w:szCs w:val="28"/>
          <w:highlight w:val="none"/>
        </w:rPr>
        <w:t>3.获取</w:t>
      </w:r>
      <w:r>
        <w:rPr>
          <w:rFonts w:hint="eastAsia" w:ascii="仿宋" w:hAnsi="仿宋" w:eastAsia="仿宋" w:cs="仿宋"/>
          <w:kern w:val="0"/>
          <w:sz w:val="28"/>
          <w:szCs w:val="28"/>
          <w:highlight w:val="none"/>
          <w:lang w:val="en-US" w:eastAsia="zh-CN"/>
        </w:rPr>
        <w:t>谈判</w:t>
      </w:r>
      <w:r>
        <w:rPr>
          <w:rFonts w:hint="eastAsia" w:ascii="仿宋" w:hAnsi="仿宋" w:eastAsia="仿宋" w:cs="仿宋"/>
          <w:kern w:val="0"/>
          <w:sz w:val="28"/>
          <w:szCs w:val="28"/>
          <w:highlight w:val="none"/>
        </w:rPr>
        <w:t>文件，而放弃参加投标的供应商，请在响应文件提交截止日前以单位名义向</w:t>
      </w:r>
      <w:r>
        <w:rPr>
          <w:rFonts w:hint="eastAsia" w:ascii="仿宋" w:hAnsi="仿宋" w:eastAsia="仿宋" w:cs="仿宋"/>
          <w:kern w:val="0"/>
          <w:sz w:val="28"/>
          <w:szCs w:val="28"/>
          <w:highlight w:val="none"/>
          <w:lang w:val="en-US" w:eastAsia="zh-CN"/>
        </w:rPr>
        <w:t>1436856621</w:t>
      </w:r>
      <w:r>
        <w:rPr>
          <w:rFonts w:hint="eastAsia" w:ascii="仿宋" w:hAnsi="仿宋" w:eastAsia="仿宋" w:cs="仿宋"/>
          <w:kern w:val="0"/>
          <w:sz w:val="28"/>
          <w:szCs w:val="28"/>
          <w:highlight w:val="none"/>
        </w:rPr>
        <w:t>@qq.com邮箱发送弃标函（格式自拟）。</w:t>
      </w:r>
    </w:p>
    <w:p>
      <w:pPr>
        <w:keepNext/>
        <w:keepLines/>
        <w:spacing w:before="260" w:after="260" w:line="360" w:lineRule="auto"/>
        <w:rPr>
          <w:rFonts w:ascii="黑体" w:hAnsi="黑体" w:eastAsia="黑体" w:cs="宋体"/>
          <w:bCs/>
          <w:sz w:val="28"/>
          <w:szCs w:val="28"/>
          <w:highlight w:val="none"/>
        </w:rPr>
      </w:pPr>
      <w:r>
        <w:rPr>
          <w:rFonts w:hint="eastAsia" w:ascii="黑体" w:hAnsi="黑体" w:eastAsia="黑体" w:cs="宋体"/>
          <w:bCs/>
          <w:sz w:val="28"/>
          <w:szCs w:val="28"/>
          <w:highlight w:val="none"/>
        </w:rPr>
        <w:t>八、凡对本次采购提出询问，请按</w:t>
      </w:r>
      <w:r>
        <w:rPr>
          <w:rFonts w:ascii="黑体" w:hAnsi="黑体" w:eastAsia="黑体" w:cs="宋体"/>
          <w:bCs/>
          <w:sz w:val="28"/>
          <w:szCs w:val="28"/>
          <w:highlight w:val="none"/>
        </w:rPr>
        <w:t>以下方式</w:t>
      </w:r>
      <w:r>
        <w:rPr>
          <w:rFonts w:hint="eastAsia" w:ascii="黑体" w:hAnsi="黑体" w:eastAsia="黑体" w:cs="宋体"/>
          <w:bCs/>
          <w:sz w:val="28"/>
          <w:szCs w:val="28"/>
          <w:highlight w:val="none"/>
        </w:rPr>
        <w:t>联系。</w:t>
      </w:r>
      <w:bookmarkEnd w:id="30"/>
      <w:bookmarkEnd w:id="31"/>
      <w:bookmarkEnd w:id="32"/>
      <w:bookmarkEnd w:id="33"/>
    </w:p>
    <w:p>
      <w:pPr>
        <w:ind w:firstLine="565" w:firstLineChars="202"/>
        <w:rPr>
          <w:rFonts w:ascii="仿宋" w:hAnsi="仿宋" w:eastAsia="仿宋" w:cs="宋体"/>
          <w:bCs/>
          <w:sz w:val="28"/>
          <w:szCs w:val="28"/>
          <w:highlight w:val="none"/>
        </w:rPr>
      </w:pPr>
      <w:bookmarkStart w:id="34" w:name="_Toc28359019"/>
      <w:bookmarkStart w:id="35" w:name="_Toc28359096"/>
      <w:bookmarkStart w:id="36" w:name="_Toc35393637"/>
      <w:bookmarkStart w:id="37" w:name="_Toc35393806"/>
      <w:r>
        <w:rPr>
          <w:rFonts w:hint="eastAsia" w:ascii="仿宋" w:hAnsi="仿宋" w:eastAsia="仿宋" w:cs="宋体"/>
          <w:bCs/>
          <w:sz w:val="28"/>
          <w:szCs w:val="28"/>
          <w:highlight w:val="none"/>
        </w:rPr>
        <w:t>1.采购人信息</w:t>
      </w:r>
      <w:bookmarkEnd w:id="34"/>
      <w:bookmarkEnd w:id="35"/>
      <w:bookmarkEnd w:id="36"/>
      <w:bookmarkEnd w:id="37"/>
    </w:p>
    <w:p>
      <w:pPr>
        <w:ind w:firstLine="565" w:firstLineChars="202"/>
        <w:rPr>
          <w:rFonts w:hint="eastAsia" w:ascii="仿宋" w:hAnsi="仿宋" w:eastAsia="仿宋" w:cs="仿宋"/>
          <w:kern w:val="0"/>
          <w:sz w:val="28"/>
          <w:szCs w:val="28"/>
          <w:highlight w:val="none"/>
        </w:rPr>
      </w:pPr>
      <w:r>
        <w:rPr>
          <w:rFonts w:hint="eastAsia" w:ascii="仿宋" w:hAnsi="仿宋" w:eastAsia="仿宋"/>
          <w:sz w:val="28"/>
          <w:szCs w:val="28"/>
          <w:highlight w:val="none"/>
        </w:rPr>
        <w:t>名    称：</w:t>
      </w:r>
      <w:r>
        <w:rPr>
          <w:rFonts w:hint="eastAsia" w:ascii="仿宋" w:hAnsi="仿宋" w:eastAsia="仿宋" w:cs="仿宋"/>
          <w:kern w:val="0"/>
          <w:sz w:val="28"/>
          <w:szCs w:val="28"/>
          <w:highlight w:val="none"/>
        </w:rPr>
        <w:t>安庆皖江高科创业服务有限公司</w:t>
      </w:r>
    </w:p>
    <w:p>
      <w:pPr>
        <w:ind w:firstLine="565" w:firstLineChars="202"/>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lang w:val="en-US" w:eastAsia="zh-CN"/>
        </w:rPr>
        <w:t>安徽省安庆经济技术开发区孵化园B1#楼</w:t>
      </w:r>
    </w:p>
    <w:p>
      <w:pPr>
        <w:ind w:firstLine="565" w:firstLineChars="202"/>
        <w:rPr>
          <w:rFonts w:hint="eastAsia" w:ascii="仿宋" w:hAnsi="仿宋" w:eastAsia="仿宋" w:cs="仿宋"/>
          <w:kern w:val="0"/>
          <w:sz w:val="28"/>
          <w:szCs w:val="28"/>
          <w:highlight w:val="none"/>
          <w:lang w:eastAsia="zh-CN"/>
        </w:rPr>
      </w:pPr>
      <w:r>
        <w:rPr>
          <w:rFonts w:hint="eastAsia" w:ascii="仿宋" w:hAnsi="仿宋" w:eastAsia="仿宋" w:cstheme="minorBidi"/>
          <w:sz w:val="28"/>
          <w:szCs w:val="28"/>
          <w:highlight w:val="none"/>
        </w:rPr>
        <w:t>联 系 人：</w:t>
      </w:r>
      <w:r>
        <w:rPr>
          <w:rFonts w:hint="eastAsia" w:ascii="仿宋" w:hAnsi="仿宋" w:eastAsia="仿宋" w:cstheme="minorBidi"/>
          <w:sz w:val="28"/>
          <w:szCs w:val="28"/>
          <w:highlight w:val="none"/>
          <w:lang w:eastAsia="zh-CN"/>
        </w:rPr>
        <w:t>刘鹏飞</w:t>
      </w:r>
    </w:p>
    <w:p>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18109667809</w:t>
      </w:r>
    </w:p>
    <w:p>
      <w:pPr>
        <w:ind w:firstLine="565" w:firstLineChars="202"/>
        <w:rPr>
          <w:rFonts w:ascii="仿宋" w:hAnsi="仿宋" w:eastAsia="仿宋" w:cs="宋体"/>
          <w:bCs/>
          <w:sz w:val="28"/>
          <w:szCs w:val="28"/>
          <w:highlight w:val="none"/>
        </w:rPr>
      </w:pPr>
      <w:bookmarkStart w:id="38" w:name="_Toc28359020"/>
      <w:bookmarkStart w:id="39" w:name="_Toc35393807"/>
      <w:bookmarkStart w:id="40" w:name="_Toc28359097"/>
      <w:bookmarkStart w:id="41" w:name="_Toc35393638"/>
      <w:r>
        <w:rPr>
          <w:rFonts w:hint="eastAsia" w:ascii="仿宋" w:hAnsi="仿宋" w:eastAsia="仿宋" w:cs="宋体"/>
          <w:bCs/>
          <w:sz w:val="28"/>
          <w:szCs w:val="28"/>
          <w:highlight w:val="none"/>
        </w:rPr>
        <w:t>2.采购代理机构信息</w:t>
      </w:r>
      <w:bookmarkEnd w:id="38"/>
      <w:bookmarkEnd w:id="39"/>
      <w:bookmarkEnd w:id="40"/>
      <w:bookmarkEnd w:id="41"/>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cs="仿宋"/>
          <w:kern w:val="0"/>
          <w:sz w:val="28"/>
          <w:szCs w:val="28"/>
          <w:highlight w:val="none"/>
        </w:rPr>
        <w:t>安庆皖宜高科工程咨询有限公司</w:t>
      </w:r>
    </w:p>
    <w:p>
      <w:pPr>
        <w:ind w:firstLine="565" w:firstLineChars="202"/>
        <w:rPr>
          <w:rFonts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cs="仿宋"/>
          <w:kern w:val="0"/>
          <w:sz w:val="28"/>
          <w:szCs w:val="28"/>
          <w:highlight w:val="none"/>
        </w:rPr>
        <w:t>安庆市龙山路21</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号五楼</w:t>
      </w:r>
    </w:p>
    <w:p>
      <w:pPr>
        <w:ind w:firstLine="565" w:firstLineChars="202"/>
        <w:rPr>
          <w:rFonts w:ascii="仿宋" w:hAnsi="仿宋" w:eastAsia="仿宋"/>
          <w:sz w:val="28"/>
          <w:szCs w:val="28"/>
          <w:highlight w:val="none"/>
        </w:rPr>
      </w:pPr>
      <w:r>
        <w:rPr>
          <w:rFonts w:hint="eastAsia" w:ascii="仿宋" w:hAnsi="仿宋" w:eastAsia="仿宋" w:cstheme="minorBidi"/>
          <w:sz w:val="28"/>
          <w:szCs w:val="28"/>
          <w:highlight w:val="none"/>
        </w:rPr>
        <w:t>联 系 人：</w:t>
      </w:r>
      <w:r>
        <w:rPr>
          <w:rFonts w:hint="eastAsia" w:ascii="仿宋" w:hAnsi="仿宋" w:eastAsia="仿宋" w:cstheme="minorBidi"/>
          <w:sz w:val="28"/>
          <w:szCs w:val="28"/>
          <w:highlight w:val="none"/>
          <w:lang w:val="en-US" w:eastAsia="zh-CN"/>
        </w:rPr>
        <w:t>刘亮</w:t>
      </w:r>
    </w:p>
    <w:p>
      <w:pPr>
        <w:ind w:firstLine="565" w:firstLineChars="202"/>
        <w:rPr>
          <w:rFonts w:hint="eastAsia" w:ascii="仿宋" w:hAnsi="仿宋" w:eastAsia="仿宋"/>
          <w:sz w:val="28"/>
          <w:szCs w:val="28"/>
          <w:highlight w:val="none"/>
          <w:lang w:val="en-US" w:eastAsia="zh-CN"/>
        </w:rPr>
      </w:pPr>
      <w:r>
        <w:rPr>
          <w:rFonts w:hint="eastAsia" w:ascii="仿宋" w:hAnsi="仿宋" w:eastAsia="仿宋"/>
          <w:sz w:val="28"/>
          <w:szCs w:val="28"/>
          <w:highlight w:val="none"/>
        </w:rPr>
        <w:t>联系方式：0556-599115</w:t>
      </w:r>
      <w:r>
        <w:rPr>
          <w:rFonts w:hint="eastAsia" w:ascii="仿宋" w:hAnsi="仿宋" w:eastAsia="仿宋"/>
          <w:sz w:val="28"/>
          <w:szCs w:val="28"/>
          <w:highlight w:val="none"/>
          <w:lang w:val="en-US" w:eastAsia="zh-CN"/>
        </w:rPr>
        <w:t>1</w:t>
      </w:r>
    </w:p>
    <w:p>
      <w:pPr>
        <w:ind w:firstLine="565" w:firstLineChars="202"/>
        <w:rPr>
          <w:rFonts w:ascii="仿宋" w:hAnsi="仿宋" w:eastAsia="仿宋" w:cs="宋体"/>
          <w:bCs/>
          <w:sz w:val="28"/>
          <w:szCs w:val="28"/>
          <w:highlight w:val="none"/>
        </w:rPr>
      </w:pPr>
      <w:bookmarkStart w:id="42" w:name="_Toc35393639"/>
      <w:bookmarkStart w:id="43" w:name="_Toc28359021"/>
      <w:bookmarkStart w:id="44" w:name="_Toc35393808"/>
      <w:bookmarkStart w:id="45" w:name="_Toc28359098"/>
      <w:r>
        <w:rPr>
          <w:rFonts w:hint="eastAsia" w:ascii="仿宋" w:hAnsi="仿宋" w:eastAsia="仿宋" w:cs="宋体"/>
          <w:bCs/>
          <w:sz w:val="28"/>
          <w:szCs w:val="28"/>
          <w:highlight w:val="none"/>
        </w:rPr>
        <w:t>3.项目联系</w:t>
      </w:r>
      <w:r>
        <w:rPr>
          <w:rFonts w:ascii="仿宋" w:hAnsi="仿宋" w:eastAsia="仿宋" w:cs="宋体"/>
          <w:bCs/>
          <w:sz w:val="28"/>
          <w:szCs w:val="28"/>
          <w:highlight w:val="none"/>
        </w:rPr>
        <w:t>方式</w:t>
      </w:r>
      <w:bookmarkEnd w:id="42"/>
      <w:bookmarkEnd w:id="43"/>
      <w:bookmarkEnd w:id="44"/>
      <w:bookmarkEnd w:id="45"/>
    </w:p>
    <w:p>
      <w:pPr>
        <w:ind w:firstLine="565" w:firstLineChars="202"/>
        <w:rPr>
          <w:rFonts w:hint="eastAsia" w:ascii="仿宋" w:hAnsi="仿宋" w:eastAsia="仿宋" w:cstheme="minorBidi"/>
          <w:sz w:val="28"/>
          <w:szCs w:val="28"/>
          <w:highlight w:val="none"/>
          <w:lang w:eastAsia="zh-CN"/>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eastAsia="zh-CN"/>
        </w:rPr>
        <w:t>刘鹏飞</w:t>
      </w:r>
    </w:p>
    <w:p>
      <w:pPr>
        <w:ind w:firstLine="560" w:firstLineChars="200"/>
        <w:rPr>
          <w:rFonts w:hint="default" w:eastAsia="仿宋"/>
          <w:b/>
          <w:bCs/>
          <w:sz w:val="24"/>
          <w:szCs w:val="22"/>
          <w:highlight w:val="non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lang w:val="en-US" w:eastAsia="zh-CN"/>
        </w:rPr>
        <w:t>18109667809</w:t>
      </w:r>
    </w:p>
    <w:p>
      <w:pPr>
        <w:pStyle w:val="3"/>
        <w:jc w:val="left"/>
        <w:rPr>
          <w:rFonts w:hint="eastAsia" w:ascii="宋体" w:hAnsi="宋体" w:cs="宋体"/>
          <w:color w:val="auto"/>
          <w:sz w:val="24"/>
          <w:szCs w:val="36"/>
          <w:highlight w:val="none"/>
          <w:lang w:val="en-US" w:eastAsia="zh-CN"/>
        </w:rPr>
      </w:pPr>
      <w:r>
        <w:rPr>
          <w:rFonts w:ascii="仿宋_GB2312" w:hAnsi="宋体" w:eastAsia="仿宋_GB2312" w:cs="宋体"/>
          <w:color w:val="000000"/>
          <w:kern w:val="0"/>
          <w:sz w:val="32"/>
          <w:szCs w:val="32"/>
          <w:highlight w:val="none"/>
        </w:rPr>
        <w:br w:type="page"/>
      </w:r>
      <w:bookmarkStart w:id="46" w:name="_Toc5001"/>
      <w:r>
        <w:rPr>
          <w:rFonts w:hint="eastAsia" w:ascii="仿宋_GB2312" w:hAnsi="宋体" w:eastAsia="仿宋_GB2312" w:cs="宋体"/>
          <w:color w:val="auto"/>
          <w:kern w:val="0"/>
          <w:sz w:val="28"/>
          <w:szCs w:val="28"/>
          <w:highlight w:val="none"/>
        </w:rPr>
        <w:t>附件：</w:t>
      </w:r>
      <w:bookmarkEnd w:id="46"/>
    </w:p>
    <w:p>
      <w:pPr>
        <w:pStyle w:val="3"/>
        <w:jc w:val="center"/>
        <w:rPr>
          <w:rFonts w:hint="eastAsia" w:ascii="宋体" w:hAnsi="宋体" w:cs="宋体"/>
          <w:color w:val="auto"/>
          <w:highlight w:val="none"/>
          <w:lang w:val="en-US" w:eastAsia="zh-CN"/>
        </w:rPr>
      </w:pPr>
      <w:bookmarkStart w:id="47" w:name="_Toc29262"/>
      <w:r>
        <w:rPr>
          <w:rFonts w:hint="eastAsia" w:ascii="宋体" w:hAnsi="宋体" w:cs="宋体"/>
          <w:color w:val="auto"/>
          <w:highlight w:val="none"/>
          <w:lang w:val="en-US" w:eastAsia="zh-CN"/>
        </w:rPr>
        <w:t>获取竞争性谈判文件的函</w:t>
      </w:r>
      <w:bookmarkEnd w:id="47"/>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安庆皖宜高科工程咨询有限公司：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   安庆火车站站前广场自动扶梯维修服务采购的竞争性谈判文件电子版，该电子版仅做本次投标使用，并承诺不做外用。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   安庆火车站站前广场自动扶梯维修服务采购项目竞争性谈判文件发至以下邮箱：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2022年  月  日</w:t>
      </w:r>
    </w:p>
    <w:bookmarkEnd w:id="106"/>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pStyle w:val="2"/>
        <w:rPr>
          <w:rFonts w:hint="eastAsia" w:ascii="仿宋" w:hAnsi="仿宋" w:eastAsia="仿宋" w:cs="仿宋"/>
          <w:b w:val="0"/>
          <w:bCs w:val="0"/>
          <w:color w:val="auto"/>
          <w:sz w:val="32"/>
          <w:szCs w:val="32"/>
          <w:highlight w:val="none"/>
          <w:u w:val="none"/>
          <w:lang w:val="en-US" w:eastAsia="zh-CN"/>
        </w:rPr>
      </w:pPr>
    </w:p>
    <w:p>
      <w:pPr>
        <w:pStyle w:val="2"/>
        <w:rPr>
          <w:rFonts w:hint="eastAsia" w:ascii="仿宋" w:hAnsi="仿宋" w:eastAsia="仿宋" w:cs="仿宋"/>
          <w:b w:val="0"/>
          <w:bCs w:val="0"/>
          <w:color w:val="auto"/>
          <w:sz w:val="32"/>
          <w:szCs w:val="32"/>
          <w:highlight w:val="none"/>
          <w:u w:val="none"/>
          <w:lang w:val="en-US" w:eastAsia="zh-CN"/>
        </w:rPr>
      </w:pPr>
    </w:p>
    <w:p>
      <w:pPr>
        <w:pStyle w:val="2"/>
        <w:rPr>
          <w:rFonts w:hint="eastAsia" w:ascii="仿宋" w:hAnsi="仿宋" w:eastAsia="仿宋" w:cs="仿宋"/>
          <w:b w:val="0"/>
          <w:bCs w:val="0"/>
          <w:color w:val="auto"/>
          <w:sz w:val="32"/>
          <w:szCs w:val="32"/>
          <w:highlight w:val="none"/>
          <w:u w:val="none"/>
          <w:lang w:val="en-US" w:eastAsia="zh-CN"/>
        </w:rPr>
      </w:pPr>
    </w:p>
    <w:p>
      <w:pPr>
        <w:widowControl/>
        <w:jc w:val="left"/>
        <w:rPr>
          <w:highlight w:val="none"/>
        </w:rPr>
      </w:pPr>
    </w:p>
    <w:p>
      <w:pPr>
        <w:pStyle w:val="3"/>
        <w:rPr>
          <w:rFonts w:ascii="宋体" w:hAnsi="宋体" w:cs="宋体"/>
          <w:color w:val="000000"/>
          <w:highlight w:val="none"/>
        </w:rPr>
      </w:pPr>
      <w:bookmarkStart w:id="48" w:name="_Toc54939188"/>
      <w:bookmarkStart w:id="49" w:name="_Toc26832"/>
      <w:bookmarkStart w:id="50" w:name="_Toc5725"/>
      <w:r>
        <w:rPr>
          <w:rFonts w:hint="eastAsia" w:ascii="宋体" w:hAnsi="宋体" w:cs="宋体"/>
          <w:color w:val="000000"/>
          <w:highlight w:val="none"/>
        </w:rPr>
        <w:t>第二章   谈判响应人须知</w:t>
      </w:r>
      <w:bookmarkEnd w:id="48"/>
      <w:bookmarkEnd w:id="49"/>
      <w:bookmarkEnd w:id="50"/>
    </w:p>
    <w:p>
      <w:pPr>
        <w:pStyle w:val="48"/>
        <w:rPr>
          <w:rFonts w:ascii="宋体" w:hAnsi="宋体"/>
          <w:color w:val="000000"/>
          <w:highlight w:val="none"/>
        </w:rPr>
      </w:pPr>
      <w:bookmarkStart w:id="51" w:name="_Toc54939189"/>
      <w:bookmarkStart w:id="52" w:name="_Toc27607"/>
      <w:r>
        <w:rPr>
          <w:rFonts w:hint="eastAsia" w:ascii="宋体" w:hAnsi="宋体"/>
          <w:color w:val="000000"/>
          <w:highlight w:val="none"/>
        </w:rPr>
        <w:t>第一节  谈判响应人须知前附表</w:t>
      </w:r>
      <w:bookmarkEnd w:id="51"/>
      <w:bookmarkEnd w:id="52"/>
    </w:p>
    <w:tbl>
      <w:tblPr>
        <w:tblStyle w:val="25"/>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601"/>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highlight w:val="none"/>
              </w:rPr>
            </w:pPr>
            <w:r>
              <w:rPr>
                <w:rFonts w:hint="eastAsia" w:ascii="宋体" w:hAnsi="宋体" w:cs="宋体"/>
                <w:color w:val="000000"/>
                <w:szCs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内容</w:t>
            </w:r>
          </w:p>
        </w:tc>
        <w:tc>
          <w:tcPr>
            <w:tcW w:w="6948"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项目编号</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 xml:space="preserve"> CG-AQ-W2022-</w:t>
            </w:r>
            <w:r>
              <w:rPr>
                <w:rFonts w:hint="eastAsia" w:ascii="宋体" w:hAnsi="宋体" w:cs="宋体"/>
                <w:color w:val="000000"/>
                <w:szCs w:val="21"/>
                <w:highlight w:val="none"/>
                <w:lang w:val="en-US" w:eastAsia="zh-CN"/>
              </w:rPr>
              <w:t>109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 xml:space="preserve"> 安庆火车站站前广场自动扶梯维修服务采购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采购人</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eastAsia="zh-CN"/>
              </w:rPr>
            </w:pPr>
            <w:r>
              <w:rPr>
                <w:rFonts w:hint="eastAsia" w:ascii="宋体" w:hAnsi="宋体" w:cs="宋体"/>
                <w:color w:val="auto"/>
                <w:szCs w:val="21"/>
                <w:highlight w:val="none"/>
              </w:rPr>
              <w:t>安庆</w:t>
            </w:r>
            <w:r>
              <w:rPr>
                <w:rFonts w:hint="eastAsia" w:ascii="宋体" w:hAnsi="宋体" w:cs="宋体"/>
                <w:color w:val="auto"/>
                <w:szCs w:val="21"/>
                <w:highlight w:val="none"/>
                <w:lang w:eastAsia="zh-CN"/>
              </w:rPr>
              <w:t>皖江高科创业服务有限公司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采购代理机构</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highlight w:val="none"/>
              </w:rPr>
            </w:pPr>
            <w:r>
              <w:rPr>
                <w:rFonts w:hint="eastAsia" w:ascii="宋体" w:hAnsi="宋体" w:cs="宋体"/>
                <w:color w:val="auto"/>
                <w:kern w:val="0"/>
                <w:szCs w:val="21"/>
                <w:highlight w:val="none"/>
                <w:lang w:val="en-US" w:eastAsia="zh-CN"/>
              </w:rPr>
              <w:t>安庆皖宜高科工程咨询有限公司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5</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采购方式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6</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包别划分</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7</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资金来源</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8</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谈判最高限价</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44万元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9</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项目地点</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10</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服务期</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 xml:space="preserve"> 自合同签订之日起两个月完成。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资格要求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1.满足《中华人民共和国政府采购法》第二十二条规定；</w:t>
            </w:r>
          </w:p>
          <w:p>
            <w:pPr>
              <w:spacing w:line="420" w:lineRule="exact"/>
              <w:rPr>
                <w:rFonts w:ascii="宋体" w:hAnsi="宋体"/>
                <w:szCs w:val="21"/>
                <w:highlight w:val="none"/>
              </w:rPr>
            </w:pPr>
            <w:r>
              <w:rPr>
                <w:rFonts w:hint="eastAsia" w:ascii="宋体" w:hAnsi="宋体" w:cs="宋体"/>
                <w:color w:val="000000"/>
                <w:szCs w:val="21"/>
                <w:highlight w:val="none"/>
              </w:rPr>
              <w:t>2.落实政府采购政策需满足的资格要求：/</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 xml:space="preserve">3.本项目的特定资格要求：具有自动扶梯的安装、维修（或修理）资质（有效期内）。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资格审查方式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3</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谈判响应有效期</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highlight w:val="none"/>
              </w:rPr>
            </w:pPr>
            <w:r>
              <w:rPr>
                <w:rFonts w:hint="eastAsia" w:ascii="宋体" w:hAnsi="宋体" w:cs="宋体"/>
                <w:color w:val="000000"/>
                <w:szCs w:val="21"/>
                <w:highlight w:val="none"/>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4</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谈判响应保证金</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5</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提交响应文件</w:t>
            </w:r>
          </w:p>
        </w:tc>
        <w:tc>
          <w:tcPr>
            <w:tcW w:w="6948"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kinsoku/>
              <w:wordWrap/>
              <w:overflowPunct/>
              <w:topLinePunct w:val="0"/>
              <w:autoSpaceDE/>
              <w:autoSpaceDN/>
              <w:bidi w:val="0"/>
              <w:spacing w:line="360" w:lineRule="auto"/>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1、提交响应文件截止时间：2022年9月29日9时30分</w:t>
            </w:r>
          </w:p>
          <w:p>
            <w:pPr>
              <w:pStyle w:val="21"/>
              <w:widowControl/>
              <w:spacing w:before="0" w:beforeAutospacing="0" w:after="0" w:afterAutospacing="0" w:line="420" w:lineRule="exact"/>
              <w:jc w:val="both"/>
              <w:rPr>
                <w:rFonts w:hint="eastAsia" w:ascii="宋体" w:hAnsi="宋体" w:cs="宋体"/>
                <w:color w:val="000000"/>
                <w:kern w:val="2"/>
                <w:sz w:val="21"/>
                <w:szCs w:val="21"/>
                <w:highlight w:val="none"/>
              </w:rPr>
            </w:pPr>
            <w:r>
              <w:rPr>
                <w:rFonts w:hint="eastAsia" w:ascii="宋体" w:hAnsi="宋体" w:cs="宋体"/>
                <w:color w:val="000000"/>
                <w:kern w:val="2"/>
                <w:sz w:val="21"/>
                <w:szCs w:val="21"/>
                <w:highlight w:val="none"/>
              </w:rPr>
              <w:t>2、壹份正本，贰份副本，装在同一密封袋内，密封提交。</w:t>
            </w:r>
          </w:p>
          <w:p>
            <w:pPr>
              <w:pStyle w:val="21"/>
              <w:widowControl/>
              <w:spacing w:before="0" w:beforeAutospacing="0" w:after="0" w:afterAutospacing="0" w:line="420" w:lineRule="exact"/>
              <w:jc w:val="both"/>
              <w:rPr>
                <w:rFonts w:hint="eastAsia" w:ascii="宋体" w:hAnsi="宋体" w:cs="宋体"/>
                <w:color w:val="000000"/>
                <w:kern w:val="2"/>
                <w:sz w:val="21"/>
                <w:szCs w:val="21"/>
                <w:highlight w:val="none"/>
              </w:rPr>
            </w:pPr>
            <w:r>
              <w:rPr>
                <w:rFonts w:hint="eastAsia" w:ascii="宋体" w:hAnsi="宋体" w:cs="宋体"/>
                <w:color w:val="000000"/>
                <w:kern w:val="2"/>
                <w:sz w:val="21"/>
                <w:szCs w:val="21"/>
                <w:highlight w:val="none"/>
              </w:rPr>
              <w:t>3、密封袋上应加盖</w:t>
            </w:r>
            <w:r>
              <w:rPr>
                <w:rFonts w:hint="eastAsia" w:ascii="宋体" w:hAnsi="宋体" w:cs="宋体"/>
                <w:color w:val="000000"/>
                <w:kern w:val="2"/>
                <w:sz w:val="21"/>
                <w:szCs w:val="21"/>
                <w:highlight w:val="none"/>
                <w:lang w:val="en-US" w:eastAsia="zh-CN"/>
              </w:rPr>
              <w:t>谈判响应</w:t>
            </w:r>
            <w:r>
              <w:rPr>
                <w:rFonts w:hint="eastAsia" w:ascii="宋体" w:hAnsi="宋体" w:cs="宋体"/>
                <w:color w:val="000000"/>
                <w:kern w:val="2"/>
                <w:sz w:val="21"/>
                <w:szCs w:val="21"/>
                <w:highlight w:val="none"/>
              </w:rPr>
              <w:t>人公章。</w:t>
            </w:r>
          </w:p>
          <w:p>
            <w:pPr>
              <w:pStyle w:val="8"/>
              <w:widowControl/>
              <w:spacing w:line="420" w:lineRule="exact"/>
              <w:jc w:val="both"/>
              <w:rPr>
                <w:rFonts w:ascii="宋体" w:hAnsi="宋体" w:eastAsia="宋体" w:cs="宋体"/>
                <w:color w:val="000000"/>
                <w:sz w:val="21"/>
                <w:szCs w:val="21"/>
                <w:highlight w:val="none"/>
              </w:rPr>
            </w:pPr>
            <w:r>
              <w:rPr>
                <w:rFonts w:hint="eastAsia" w:ascii="宋体" w:hAnsi="宋体" w:cs="宋体"/>
                <w:color w:val="000000"/>
                <w:kern w:val="2"/>
                <w:sz w:val="21"/>
                <w:szCs w:val="21"/>
                <w:highlight w:val="none"/>
              </w:rPr>
              <w:t>4、</w:t>
            </w:r>
            <w:r>
              <w:rPr>
                <w:rFonts w:hint="eastAsia" w:ascii="宋体" w:hAnsi="宋体" w:eastAsia="宋体" w:cs="宋体"/>
                <w:color w:val="000000"/>
                <w:kern w:val="2"/>
                <w:sz w:val="21"/>
                <w:szCs w:val="21"/>
                <w:highlight w:val="none"/>
                <w:lang w:val="en-US" w:eastAsia="zh-CN" w:bidi="ar-SA"/>
              </w:rPr>
              <w:t>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6</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媒介发布</w:t>
            </w:r>
          </w:p>
        </w:tc>
        <w:tc>
          <w:tcPr>
            <w:tcW w:w="69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hint="eastAsia" w:ascii="宋体" w:hAnsi="宋体" w:cs="宋体"/>
                <w:szCs w:val="21"/>
                <w:highlight w:val="none"/>
              </w:rPr>
            </w:pPr>
            <w:r>
              <w:rPr>
                <w:rFonts w:hint="eastAsia" w:ascii="宋体" w:hAnsi="宋体" w:cs="宋体"/>
                <w:szCs w:val="21"/>
                <w:highlight w:val="none"/>
              </w:rPr>
              <w:t>在安庆市皖宜项目咨询管理有限公司（http://wyxmzx.com/index.html）安庆经济技术开发区（http://aqdz.anqing.gov.cn/xwzx/tzgg/index.html）</w:t>
            </w:r>
          </w:p>
          <w:p>
            <w:pPr>
              <w:autoSpaceDE w:val="0"/>
              <w:autoSpaceDN w:val="0"/>
              <w:adjustRightInd w:val="0"/>
              <w:spacing w:line="380" w:lineRule="exact"/>
              <w:jc w:val="left"/>
              <w:rPr>
                <w:rFonts w:ascii="宋体" w:hAnsi="宋体" w:cs="宋体"/>
                <w:color w:val="000000"/>
                <w:szCs w:val="21"/>
                <w:highlight w:val="none"/>
              </w:rPr>
            </w:pPr>
            <w:r>
              <w:rPr>
                <w:rFonts w:hint="eastAsia" w:ascii="宋体" w:hAnsi="宋体" w:cs="宋体"/>
                <w:szCs w:val="21"/>
                <w:highlight w:val="none"/>
                <w:lang w:eastAsia="zh-CN"/>
              </w:rPr>
              <w:t>安庆皖江高科技投资发展有限公司（</w:t>
            </w:r>
            <w:r>
              <w:rPr>
                <w:rFonts w:hint="eastAsia" w:ascii="宋体" w:hAnsi="宋体" w:cs="宋体"/>
                <w:szCs w:val="21"/>
                <w:highlight w:val="none"/>
              </w:rPr>
              <w:t>http://www.wanjianggaoke.com</w:t>
            </w:r>
            <w:r>
              <w:rPr>
                <w:rFonts w:hint="eastAsia" w:ascii="宋体" w:hAnsi="宋体" w:cs="宋体"/>
                <w:szCs w:val="21"/>
                <w:highlight w:val="none"/>
                <w:lang w:eastAsia="zh-CN"/>
              </w:rPr>
              <w:t>）</w:t>
            </w:r>
            <w:r>
              <w:rPr>
                <w:rFonts w:hint="eastAsia" w:ascii="宋体" w:hAnsi="宋体" w:cs="宋体"/>
                <w:szCs w:val="21"/>
                <w:highlight w:val="none"/>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7</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谈判时间和地点</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Cs w:val="21"/>
                <w:highlight w:val="none"/>
              </w:rPr>
            </w:pPr>
            <w:r>
              <w:rPr>
                <w:rFonts w:hint="eastAsia" w:ascii="宋体" w:hAnsi="宋体"/>
                <w:szCs w:val="21"/>
                <w:highlight w:val="none"/>
              </w:rPr>
              <w:t>时间</w:t>
            </w:r>
            <w:r>
              <w:rPr>
                <w:rFonts w:ascii="宋体" w:hAnsi="宋体"/>
                <w:szCs w:val="21"/>
                <w:highlight w:val="none"/>
              </w:rPr>
              <w:t>:</w:t>
            </w:r>
            <w:r>
              <w:rPr>
                <w:rFonts w:hint="eastAsia" w:ascii="宋体" w:hAnsi="宋体" w:cs="宋体"/>
                <w:szCs w:val="21"/>
                <w:highlight w:val="none"/>
                <w:u w:val="single"/>
              </w:rPr>
              <w:t>2022年9月29日9时30分</w:t>
            </w:r>
          </w:p>
          <w:p>
            <w:pPr>
              <w:spacing w:line="420" w:lineRule="exact"/>
              <w:rPr>
                <w:rFonts w:ascii="宋体" w:hAnsi="宋体" w:cs="宋体"/>
                <w:color w:val="000000"/>
                <w:szCs w:val="21"/>
                <w:highlight w:val="none"/>
              </w:rPr>
            </w:pPr>
            <w:r>
              <w:rPr>
                <w:rFonts w:hint="eastAsia" w:ascii="宋体" w:hAnsi="宋体"/>
                <w:szCs w:val="21"/>
                <w:highlight w:val="none"/>
              </w:rPr>
              <w:t>地点</w:t>
            </w:r>
            <w:r>
              <w:rPr>
                <w:rFonts w:ascii="宋体" w:hAnsi="宋体"/>
                <w:szCs w:val="21"/>
                <w:highlight w:val="none"/>
              </w:rPr>
              <w:t xml:space="preserve">: </w:t>
            </w:r>
            <w:r>
              <w:rPr>
                <w:rFonts w:hint="eastAsia" w:ascii="宋体" w:hAnsi="宋体"/>
                <w:szCs w:val="21"/>
                <w:highlight w:val="none"/>
              </w:rPr>
              <w:t>安庆市</w:t>
            </w:r>
            <w:r>
              <w:rPr>
                <w:rFonts w:hint="eastAsia" w:ascii="宋体" w:hAnsi="宋体"/>
                <w:szCs w:val="21"/>
                <w:highlight w:val="none"/>
                <w:lang w:val="en-US" w:eastAsia="zh-CN"/>
              </w:rPr>
              <w:t>龙山路213号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p>
          <w:p>
            <w:pPr>
              <w:spacing w:line="42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18</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评审方法</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b/>
                <w:color w:val="000000"/>
                <w:highlight w:val="none"/>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19</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color w:val="000000"/>
                <w:szCs w:val="21"/>
                <w:highlight w:val="none"/>
              </w:rPr>
            </w:pPr>
            <w:r>
              <w:rPr>
                <w:rFonts w:hint="eastAsia" w:ascii="宋体"/>
                <w:szCs w:val="21"/>
                <w:highlight w:val="none"/>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20</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服务费(元)</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21</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付款方式</w:t>
            </w:r>
          </w:p>
        </w:tc>
        <w:tc>
          <w:tcPr>
            <w:tcW w:w="694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eastAsia="zh-CN"/>
              </w:rPr>
              <w:t>维修结束试运行一个月，验收合格后付</w:t>
            </w:r>
            <w:r>
              <w:rPr>
                <w:rFonts w:hint="eastAsia" w:ascii="宋体" w:hAnsi="宋体" w:cs="宋体"/>
                <w:color w:val="000000"/>
                <w:szCs w:val="21"/>
                <w:highlight w:val="none"/>
                <w:lang w:val="en-US" w:eastAsia="zh-CN"/>
              </w:rPr>
              <w:t>95%，余款一年后无质量问题时支付。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2</w:t>
            </w:r>
          </w:p>
        </w:tc>
        <w:tc>
          <w:tcPr>
            <w:tcW w:w="16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备   注</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highlight w:val="none"/>
              </w:rPr>
            </w:pPr>
            <w:r>
              <w:rPr>
                <w:rFonts w:hint="eastAsia" w:ascii="宋体" w:hAnsi="宋体" w:cs="宋体"/>
                <w:color w:val="000000"/>
                <w:szCs w:val="21"/>
                <w:highlight w:val="none"/>
              </w:rPr>
              <w:t>本竞争性谈判文件的解释权归采购单位；</w:t>
            </w:r>
          </w:p>
        </w:tc>
      </w:tr>
    </w:tbl>
    <w:p>
      <w:pPr>
        <w:pStyle w:val="48"/>
        <w:rPr>
          <w:rFonts w:ascii="宋体" w:hAnsi="宋体"/>
          <w:color w:val="000000"/>
          <w:highlight w:val="none"/>
        </w:rPr>
      </w:pPr>
      <w:bookmarkStart w:id="53" w:name="_Toc14999"/>
      <w:bookmarkStart w:id="54" w:name="_Toc54939190"/>
      <w:r>
        <w:rPr>
          <w:rFonts w:hint="eastAsia" w:ascii="宋体" w:hAnsi="宋体"/>
          <w:color w:val="000000"/>
          <w:highlight w:val="none"/>
        </w:rPr>
        <w:t>第二节  谈判响应人须知</w:t>
      </w:r>
      <w:bookmarkEnd w:id="53"/>
      <w:bookmarkEnd w:id="54"/>
    </w:p>
    <w:p>
      <w:pPr>
        <w:pStyle w:val="6"/>
        <w:ind w:firstLine="472" w:firstLineChars="196"/>
        <w:jc w:val="both"/>
        <w:rPr>
          <w:rFonts w:hAnsi="宋体" w:cs="宋体"/>
          <w:color w:val="000000"/>
          <w:highlight w:val="none"/>
        </w:rPr>
      </w:pPr>
      <w:bookmarkStart w:id="55" w:name="_Toc54939191"/>
      <w:bookmarkStart w:id="56" w:name="_Toc7034"/>
      <w:r>
        <w:rPr>
          <w:rFonts w:hint="eastAsia" w:hAnsi="宋体" w:cs="宋体"/>
          <w:color w:val="000000"/>
          <w:highlight w:val="none"/>
        </w:rPr>
        <w:t>一、总则</w:t>
      </w:r>
      <w:bookmarkEnd w:id="55"/>
      <w:bookmarkEnd w:id="56"/>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1、</w:t>
      </w:r>
      <w:r>
        <w:rPr>
          <w:rFonts w:hint="eastAsia" w:ascii="宋体" w:hAnsi="宋体" w:cs="宋体"/>
          <w:color w:val="000000"/>
          <w:szCs w:val="21"/>
          <w:highlight w:val="none"/>
        </w:rPr>
        <w:t>本竞争性谈判文件</w:t>
      </w:r>
      <w:r>
        <w:rPr>
          <w:rFonts w:hint="eastAsia" w:ascii="宋体" w:hAnsi="宋体" w:cs="宋体"/>
          <w:color w:val="000000"/>
          <w:szCs w:val="21"/>
          <w:highlight w:val="none"/>
          <w:lang w:val="en-US" w:eastAsia="zh-CN"/>
        </w:rPr>
        <w:t>参照</w:t>
      </w:r>
      <w:r>
        <w:rPr>
          <w:rFonts w:hint="eastAsia" w:ascii="宋体" w:hAnsi="宋体" w:cs="宋体"/>
          <w:color w:val="000000"/>
          <w:szCs w:val="21"/>
          <w:highlight w:val="none"/>
        </w:rPr>
        <w:t>《中华人民共和国政府采购法》（以下简称“《政府采购法》”）和《中华人民共和国政府采购法实施条例》等有关法律、法规、规章制定。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2、定义</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2.1、采购单位是指采购人和采购代理机构。</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2.2、谈判响应人是指对“谈判响应人须知前附表”序号2所指的项目表现出兴趣，按照</w:t>
      </w:r>
      <w:r>
        <w:rPr>
          <w:rFonts w:hint="eastAsia" w:ascii="宋体" w:hAnsi="宋体" w:cs="宋体"/>
          <w:color w:val="000000"/>
          <w:highlight w:val="none"/>
        </w:rPr>
        <w:t>约定</w:t>
      </w:r>
      <w:r>
        <w:rPr>
          <w:rFonts w:hint="eastAsia" w:ascii="宋体" w:hAnsi="宋体" w:cs="宋体"/>
          <w:color w:val="000000"/>
          <w:szCs w:val="21"/>
          <w:highlight w:val="none"/>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3、谈判响应人资格要求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3.1、参与本项目的谈判响应人必须满足的要求：详见谈判响应人须知前附表。</w:t>
      </w:r>
    </w:p>
    <w:p>
      <w:pPr>
        <w:spacing w:line="5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highlight w:val="none"/>
        </w:rPr>
        <w:t>单位负责人为同一人或者存在直接控股、管理关系的不同供应商</w:t>
      </w:r>
      <w:r>
        <w:rPr>
          <w:rFonts w:hint="eastAsia" w:ascii="宋体" w:hAnsi="宋体" w:cs="宋体"/>
          <w:color w:val="000000"/>
          <w:szCs w:val="21"/>
          <w:highlight w:val="none"/>
        </w:rPr>
        <w:t>；</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highlight w:val="none"/>
        </w:rPr>
        <w:t>除单一来源采购项目外，为采购项目提供整体设计、规范编制或者项目管理、监理、检测等服务的供应商</w:t>
      </w:r>
      <w:r>
        <w:rPr>
          <w:rFonts w:hint="eastAsia" w:ascii="宋体" w:hAnsi="宋体" w:cs="宋体"/>
          <w:color w:val="000000"/>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.3</w:t>
      </w:r>
      <w:r>
        <w:rPr>
          <w:rFonts w:hint="eastAsia" w:ascii="宋体" w:hAnsi="宋体"/>
          <w:szCs w:val="21"/>
          <w:highlight w:val="none"/>
        </w:rPr>
        <w:t>、</w:t>
      </w:r>
      <w:r>
        <w:rPr>
          <w:rFonts w:hint="eastAsia" w:ascii="Arial" w:hAnsi="Arial" w:cs="Arial"/>
          <w:highlight w:val="none"/>
        </w:rPr>
        <w:t>银行、保险、石油化工、电力、电信等特殊行业的分公司参与</w:t>
      </w:r>
      <w:r>
        <w:rPr>
          <w:rFonts w:hint="eastAsia" w:ascii="宋体" w:hAnsi="宋体" w:cs="宋体"/>
          <w:color w:val="000000"/>
          <w:szCs w:val="21"/>
          <w:highlight w:val="none"/>
        </w:rPr>
        <w:t>谈判</w:t>
      </w:r>
      <w:r>
        <w:rPr>
          <w:rFonts w:hint="eastAsia" w:ascii="Arial" w:hAnsi="Arial" w:cs="Arial"/>
          <w:highlight w:val="none"/>
        </w:rPr>
        <w:t>，须取得总公司的相关授权（</w:t>
      </w:r>
      <w:r>
        <w:rPr>
          <w:rFonts w:hint="eastAsia" w:ascii="宋体" w:hAnsi="宋体" w:cs="宋体"/>
          <w:color w:val="000000"/>
          <w:szCs w:val="21"/>
          <w:highlight w:val="none"/>
        </w:rPr>
        <w:t>谈判响应</w:t>
      </w:r>
      <w:r>
        <w:rPr>
          <w:rFonts w:hint="eastAsia" w:ascii="Arial" w:hAnsi="Arial" w:cs="Arial"/>
          <w:highlight w:val="none"/>
        </w:rPr>
        <w:t>文件中须提供）；银行、保险、石油化工、电力、电信等特殊行业的分公司取得总公司相关授权后，</w:t>
      </w:r>
      <w:r>
        <w:rPr>
          <w:rFonts w:hint="eastAsia" w:ascii="宋体" w:hAnsi="宋体" w:cs="宋体"/>
          <w:color w:val="000000"/>
          <w:szCs w:val="21"/>
          <w:highlight w:val="none"/>
        </w:rPr>
        <w:t>谈判</w:t>
      </w:r>
      <w:r>
        <w:rPr>
          <w:rFonts w:hint="eastAsia" w:ascii="Arial" w:hAnsi="Arial" w:cs="Arial"/>
          <w:highlight w:val="none"/>
        </w:rPr>
        <w:t>文件中关于法定代表人的要求事项可由分公司负责人代理。</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4</w:t>
      </w:r>
      <w:r>
        <w:rPr>
          <w:rFonts w:hint="eastAsia" w:ascii="宋体" w:hAnsi="宋体" w:cs="宋体"/>
          <w:color w:val="000000"/>
          <w:szCs w:val="21"/>
          <w:highlight w:val="none"/>
        </w:rPr>
        <w:t>、谈判响应人必须确保自己信息真实、准确，否则，谈判响应人因此蒙受损失，采购单位概不负责。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highlight w:val="none"/>
        </w:rPr>
        <w:t>4、踏勘现场：</w:t>
      </w:r>
      <w:r>
        <w:rPr>
          <w:rFonts w:hint="eastAsia" w:ascii="宋体" w:hAnsi="宋体" w:cs="宋体"/>
          <w:color w:val="000000"/>
          <w:szCs w:val="21"/>
          <w:highlight w:val="none"/>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highlight w:val="none"/>
        </w:rPr>
      </w:pPr>
      <w:r>
        <w:rPr>
          <w:rFonts w:hint="eastAsia" w:ascii="宋体" w:hAnsi="宋体" w:cs="宋体"/>
          <w:b/>
          <w:color w:val="000000"/>
          <w:szCs w:val="21"/>
          <w:highlight w:val="none"/>
        </w:rPr>
        <w:t>5、联合体响应</w:t>
      </w:r>
      <w:r>
        <w:rPr>
          <w:rFonts w:hint="eastAsia" w:ascii="宋体" w:hAnsi="宋体" w:cs="宋体"/>
          <w:b/>
          <w:color w:val="000000"/>
          <w:szCs w:val="21"/>
          <w:highlight w:val="none"/>
          <w:lang w:eastAsia="zh-CN"/>
        </w:rPr>
        <w:t>（</w:t>
      </w:r>
      <w:r>
        <w:rPr>
          <w:rFonts w:hint="eastAsia" w:ascii="宋体" w:hAnsi="宋体" w:cs="宋体"/>
          <w:b w:val="0"/>
          <w:bCs/>
          <w:color w:val="auto"/>
          <w:szCs w:val="21"/>
          <w:highlight w:val="none"/>
          <w:lang w:val="en-US" w:eastAsia="zh-CN"/>
        </w:rPr>
        <w:t>本项目不接受联合体投标。）</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b/>
          <w:color w:val="000000"/>
          <w:highlight w:val="none"/>
        </w:rPr>
        <w:t>6、谈判响应费用：</w:t>
      </w:r>
      <w:r>
        <w:rPr>
          <w:rFonts w:hint="eastAsia" w:ascii="宋体" w:hAnsi="宋体" w:cs="宋体"/>
          <w:b/>
          <w:color w:val="000000"/>
          <w:szCs w:val="21"/>
          <w:highlight w:val="none"/>
        </w:rPr>
        <w:t>谈判响应人必须自行承担参加谈判响应的所有费用。</w:t>
      </w:r>
      <w:r>
        <w:rPr>
          <w:rFonts w:hint="eastAsia" w:ascii="宋体" w:hAnsi="宋体" w:cs="宋体"/>
          <w:color w:val="000000"/>
          <w:szCs w:val="21"/>
          <w:highlight w:val="none"/>
        </w:rPr>
        <w:t>不论成交与否，采购单位在任何情况下均无义务和责任承担这些费用。</w:t>
      </w:r>
    </w:p>
    <w:p>
      <w:pPr>
        <w:pStyle w:val="6"/>
        <w:ind w:firstLine="472" w:firstLineChars="196"/>
        <w:rPr>
          <w:rFonts w:hAnsi="宋体" w:cs="宋体"/>
          <w:color w:val="000000"/>
          <w:highlight w:val="none"/>
        </w:rPr>
      </w:pPr>
      <w:bookmarkStart w:id="57" w:name="_Toc54939192"/>
      <w:bookmarkStart w:id="58" w:name="_Toc8536"/>
      <w:r>
        <w:rPr>
          <w:rFonts w:hint="eastAsia" w:hAnsi="宋体" w:cs="宋体"/>
          <w:color w:val="000000"/>
          <w:highlight w:val="none"/>
        </w:rPr>
        <w:t>二、竞争性谈判文件</w:t>
      </w:r>
      <w:bookmarkEnd w:id="57"/>
      <w:bookmarkEnd w:id="58"/>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7、竞争性谈判文件的构成</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7.1、竞争性谈判文件包括：</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（1）第一章  竞争性谈判公告；</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（2）第二章  谈判响应人须知；</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（3）第三章  </w:t>
      </w:r>
      <w:r>
        <w:rPr>
          <w:rFonts w:hint="eastAsia" w:ascii="宋体" w:hAnsi="宋体" w:cs="宋体"/>
          <w:color w:val="000000" w:themeColor="text1"/>
          <w:szCs w:val="21"/>
          <w:highlight w:val="none"/>
          <w14:textFill>
            <w14:solidFill>
              <w14:schemeClr w14:val="tx1"/>
            </w14:solidFill>
          </w14:textFill>
        </w:rPr>
        <w:t>服务</w:t>
      </w:r>
      <w:r>
        <w:rPr>
          <w:rFonts w:hint="eastAsia" w:ascii="宋体" w:hAnsi="宋体" w:cs="宋体"/>
          <w:color w:val="000000"/>
          <w:szCs w:val="21"/>
          <w:highlight w:val="none"/>
        </w:rPr>
        <w:t>需求及技术要求；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（4）第四章  合同主要条款；</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（5）第五章  谈判响应文件格式；</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auto"/>
          <w:szCs w:val="21"/>
          <w:highlight w:val="none"/>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w:t>
      </w:r>
      <w:r>
        <w:rPr>
          <w:rFonts w:hint="eastAsia" w:ascii="宋体" w:hAnsi="宋体" w:cs="宋体"/>
          <w:b/>
          <w:bCs/>
          <w:color w:val="auto"/>
          <w:szCs w:val="21"/>
          <w:highlight w:val="none"/>
          <w:lang w:val="en-US" w:eastAsia="zh-CN"/>
        </w:rPr>
        <w:t>1436856621@qq.com</w:t>
      </w:r>
      <w:r>
        <w:rPr>
          <w:rFonts w:hint="eastAsia" w:ascii="宋体" w:hAnsi="宋体" w:cs="宋体"/>
          <w:color w:val="auto"/>
          <w:szCs w:val="21"/>
          <w:highlight w:val="none"/>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highlight w:val="none"/>
        </w:rPr>
        <w:t>约定，</w:t>
      </w:r>
      <w:r>
        <w:rPr>
          <w:rFonts w:hint="eastAsia" w:ascii="宋体" w:hAnsi="宋体" w:cs="宋体"/>
          <w:color w:val="auto"/>
          <w:szCs w:val="21"/>
          <w:highlight w:val="none"/>
        </w:rPr>
        <w:t>该谈判响应有可能被拒绝。</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8、竞争性谈判文件的澄清</w:t>
      </w:r>
    </w:p>
    <w:p>
      <w:pPr>
        <w:spacing w:line="360" w:lineRule="auto"/>
        <w:rPr>
          <w:rFonts w:ascii="宋体" w:hAnsi="宋体" w:cs="宋体"/>
          <w:color w:val="auto"/>
          <w:szCs w:val="21"/>
          <w:highlight w:val="none"/>
        </w:rPr>
      </w:pPr>
      <w:r>
        <w:rPr>
          <w:rFonts w:hint="eastAsia" w:ascii="宋体" w:hAnsi="宋体" w:cs="宋体"/>
          <w:color w:val="000000"/>
          <w:szCs w:val="21"/>
          <w:highlight w:val="none"/>
        </w:rPr>
        <w:t xml:space="preserve"> </w:t>
      </w:r>
      <w:r>
        <w:rPr>
          <w:rFonts w:hint="eastAsia" w:ascii="宋体" w:hAnsi="宋体" w:cs="宋体"/>
          <w:color w:val="auto"/>
          <w:szCs w:val="21"/>
          <w:highlight w:val="none"/>
        </w:rPr>
        <w:t xml:space="preserve">    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w:t>
      </w:r>
      <w:r>
        <w:rPr>
          <w:rFonts w:hint="eastAsia" w:ascii="宋体" w:hAnsi="宋体" w:cs="宋体"/>
          <w:b/>
          <w:bCs/>
          <w:color w:val="auto"/>
          <w:szCs w:val="21"/>
          <w:highlight w:val="none"/>
          <w:lang w:val="en-US" w:eastAsia="zh-CN"/>
        </w:rPr>
        <w:t>1436856621@qq.com</w:t>
      </w:r>
      <w:r>
        <w:rPr>
          <w:rFonts w:hint="eastAsia" w:ascii="宋体" w:hAnsi="宋体" w:cs="宋体"/>
          <w:b/>
          <w:bCs/>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highlight w:val="none"/>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9、竞争性谈判文件的修改</w:t>
      </w:r>
    </w:p>
    <w:p>
      <w:pPr>
        <w:spacing w:line="540" w:lineRule="exact"/>
        <w:ind w:firstLine="420" w:firstLineChars="200"/>
        <w:rPr>
          <w:rFonts w:ascii="宋体"/>
          <w:szCs w:val="21"/>
          <w:highlight w:val="none"/>
        </w:rPr>
      </w:pPr>
      <w:r>
        <w:rPr>
          <w:rFonts w:ascii="宋体" w:hAnsi="宋体"/>
          <w:szCs w:val="21"/>
          <w:highlight w:val="none"/>
        </w:rPr>
        <w:t>9.1</w:t>
      </w:r>
      <w:r>
        <w:rPr>
          <w:rFonts w:hint="eastAsia" w:ascii="宋体" w:hAnsi="宋体"/>
          <w:szCs w:val="21"/>
          <w:highlight w:val="none"/>
        </w:rPr>
        <w:t>、采购单位可以对竞争性谈判文件进行修改。</w:t>
      </w:r>
    </w:p>
    <w:p>
      <w:pPr>
        <w:spacing w:line="540" w:lineRule="exact"/>
        <w:ind w:firstLine="420" w:firstLineChars="200"/>
        <w:rPr>
          <w:rFonts w:ascii="宋体"/>
          <w:szCs w:val="21"/>
          <w:highlight w:val="none"/>
        </w:rPr>
      </w:pPr>
      <w:r>
        <w:rPr>
          <w:rFonts w:ascii="宋体" w:hAnsi="宋体"/>
          <w:szCs w:val="21"/>
          <w:highlight w:val="none"/>
        </w:rPr>
        <w:t>9.2</w:t>
      </w:r>
      <w:r>
        <w:rPr>
          <w:rFonts w:hint="eastAsia" w:ascii="宋体" w:hAnsi="宋体"/>
          <w:szCs w:val="21"/>
          <w:highlight w:val="none"/>
        </w:rPr>
        <w:t>、采购单位对供应商质疑的答复和对竞争性谈判文件的澄清、修改、补充说明等内容</w:t>
      </w:r>
      <w:r>
        <w:rPr>
          <w:rFonts w:hint="eastAsia" w:ascii="宋体" w:hAnsi="宋体"/>
          <w:b/>
          <w:bCs/>
          <w:szCs w:val="21"/>
          <w:highlight w:val="none"/>
        </w:rPr>
        <w:t>均通过安庆市皖宜咨询管理有限公司（http://www.wyxmzx.com/）和安庆经济技术开发区（http://aqdz.anqing.gov.cn/xwzx/tzgg/index.html）</w:t>
      </w:r>
      <w:r>
        <w:rPr>
          <w:rFonts w:hint="eastAsia" w:ascii="宋体" w:hAnsi="宋体"/>
          <w:b/>
          <w:bCs/>
          <w:szCs w:val="21"/>
          <w:highlight w:val="none"/>
          <w:lang w:eastAsia="zh-CN"/>
        </w:rPr>
        <w:t>、安庆皖江高科技投资发展有限公司（http://www.wanjianggaoke.com）</w:t>
      </w:r>
      <w:r>
        <w:rPr>
          <w:rFonts w:hint="eastAsia" w:ascii="宋体" w:hAnsi="宋体"/>
          <w:b/>
          <w:bCs/>
          <w:szCs w:val="21"/>
          <w:highlight w:val="none"/>
        </w:rPr>
        <w:t>发布，该修改内容作为</w:t>
      </w:r>
      <w:r>
        <w:rPr>
          <w:rFonts w:hint="eastAsia" w:ascii="宋体" w:hAnsi="宋体"/>
          <w:b/>
          <w:bCs/>
          <w:szCs w:val="21"/>
          <w:highlight w:val="none"/>
          <w:lang w:val="en-US" w:eastAsia="zh-CN"/>
        </w:rPr>
        <w:t>谈判</w:t>
      </w:r>
      <w:r>
        <w:rPr>
          <w:rFonts w:hint="eastAsia" w:ascii="宋体" w:hAnsi="宋体"/>
          <w:b/>
          <w:bCs/>
          <w:szCs w:val="21"/>
          <w:highlight w:val="none"/>
        </w:rPr>
        <w:t>文件的组成部分，具有约束作用</w:t>
      </w:r>
      <w:r>
        <w:rPr>
          <w:rFonts w:hint="eastAsia" w:ascii="宋体" w:hAnsi="宋体"/>
          <w:szCs w:val="21"/>
          <w:highlight w:val="none"/>
        </w:rPr>
        <w:t>。</w:t>
      </w:r>
    </w:p>
    <w:p>
      <w:pPr>
        <w:spacing w:line="540" w:lineRule="exact"/>
        <w:ind w:firstLine="420" w:firstLineChars="200"/>
        <w:rPr>
          <w:rFonts w:ascii="宋体"/>
          <w:szCs w:val="21"/>
          <w:highlight w:val="none"/>
        </w:rPr>
      </w:pPr>
      <w:r>
        <w:rPr>
          <w:rFonts w:ascii="宋体" w:hAnsi="宋体"/>
          <w:szCs w:val="21"/>
          <w:highlight w:val="none"/>
        </w:rPr>
        <w:t>9.3</w:t>
      </w:r>
      <w:r>
        <w:rPr>
          <w:rFonts w:hint="eastAsia" w:ascii="宋体" w:hAnsi="宋体"/>
          <w:szCs w:val="21"/>
          <w:highlight w:val="none"/>
        </w:rPr>
        <w:t>、当竞争性谈判文件与对竞争性谈判文件的澄清、修改、补充等在同一内容的表述上不一致时，以最后发出的为准。</w:t>
      </w:r>
    </w:p>
    <w:p>
      <w:pPr>
        <w:spacing w:line="360" w:lineRule="auto"/>
        <w:ind w:firstLine="420" w:firstLineChars="200"/>
        <w:jc w:val="left"/>
        <w:rPr>
          <w:rFonts w:hint="eastAsia" w:ascii="仿宋" w:hAnsi="仿宋" w:eastAsia="仿宋" w:cs="仿宋"/>
          <w:color w:val="000000"/>
          <w:sz w:val="21"/>
          <w:szCs w:val="21"/>
          <w:highlight w:val="none"/>
        </w:rPr>
      </w:pPr>
      <w:r>
        <w:rPr>
          <w:rFonts w:ascii="宋体" w:hAnsi="宋体"/>
          <w:szCs w:val="21"/>
          <w:highlight w:val="none"/>
        </w:rPr>
        <w:t>9.4</w:t>
      </w:r>
      <w:r>
        <w:rPr>
          <w:rFonts w:hint="eastAsia" w:ascii="宋体" w:hAnsi="宋体"/>
          <w:szCs w:val="21"/>
          <w:highlight w:val="none"/>
        </w:rPr>
        <w:t>、为使供应商有充分时间对</w:t>
      </w:r>
      <w:r>
        <w:rPr>
          <w:rFonts w:hint="eastAsia" w:ascii="宋体" w:hAnsi="宋体"/>
          <w:szCs w:val="21"/>
          <w:highlight w:val="none"/>
          <w:lang w:val="en-US" w:eastAsia="zh-CN"/>
        </w:rPr>
        <w:t>谈判</w:t>
      </w:r>
      <w:r>
        <w:rPr>
          <w:rFonts w:hint="eastAsia" w:ascii="宋体" w:hAnsi="宋体"/>
          <w:szCs w:val="21"/>
          <w:highlight w:val="none"/>
        </w:rPr>
        <w:t>文件的澄清、修改、补充部分进行研究、或是由于其他原因，采购单位可以决定顺延提交响应文件截止时间</w:t>
      </w:r>
      <w:r>
        <w:rPr>
          <w:rFonts w:hint="eastAsia" w:ascii="宋体" w:hAnsi="宋体"/>
          <w:b/>
          <w:bCs/>
          <w:szCs w:val="21"/>
          <w:highlight w:val="none"/>
        </w:rPr>
        <w:t>，具体时间通过均通过安庆市皖宜咨询管理有限公司（http://www.wyxmzx.com/）和安庆经济技术开发区（http://aqdz.anqing.gov.cn/xwzx/tzgg/index.html）</w:t>
      </w:r>
      <w:r>
        <w:rPr>
          <w:rFonts w:hint="eastAsia" w:ascii="宋体" w:hAnsi="宋体"/>
          <w:b/>
          <w:bCs/>
          <w:szCs w:val="21"/>
          <w:highlight w:val="none"/>
          <w:lang w:eastAsia="zh-CN"/>
        </w:rPr>
        <w:t>、安庆皖江高科技投资发展有限公司（http://www.wanjianggaoke.com）</w:t>
      </w:r>
      <w:r>
        <w:rPr>
          <w:rFonts w:hint="eastAsia" w:ascii="宋体" w:hAnsi="宋体"/>
          <w:b/>
          <w:bCs/>
          <w:szCs w:val="21"/>
          <w:highlight w:val="none"/>
        </w:rPr>
        <w:t>发布</w:t>
      </w:r>
      <w:r>
        <w:rPr>
          <w:rFonts w:hint="eastAsia" w:ascii="仿宋" w:hAnsi="仿宋" w:eastAsia="仿宋" w:cs="仿宋"/>
          <w:b/>
          <w:bCs/>
          <w:sz w:val="21"/>
          <w:szCs w:val="21"/>
          <w:highlight w:val="none"/>
        </w:rPr>
        <w:t>。</w:t>
      </w:r>
    </w:p>
    <w:p>
      <w:pPr>
        <w:pStyle w:val="6"/>
        <w:ind w:firstLine="472" w:firstLineChars="196"/>
        <w:rPr>
          <w:rFonts w:hAnsi="宋体" w:cs="宋体"/>
          <w:color w:val="000000"/>
          <w:highlight w:val="none"/>
        </w:rPr>
      </w:pPr>
      <w:bookmarkStart w:id="59" w:name="_Toc9821"/>
      <w:bookmarkStart w:id="60" w:name="_Toc54939193"/>
      <w:r>
        <w:rPr>
          <w:rFonts w:hint="eastAsia" w:hAnsi="宋体" w:cs="宋体"/>
          <w:color w:val="000000"/>
          <w:highlight w:val="none"/>
        </w:rPr>
        <w:t>三、谈判响应文件的编制</w:t>
      </w:r>
      <w:bookmarkEnd w:id="59"/>
      <w:bookmarkEnd w:id="60"/>
    </w:p>
    <w:p>
      <w:pPr>
        <w:spacing w:line="360" w:lineRule="auto"/>
        <w:rPr>
          <w:rFonts w:ascii="宋体" w:hAnsi="宋体" w:cs="宋体"/>
          <w:b/>
          <w:color w:val="000000"/>
          <w:szCs w:val="21"/>
          <w:highlight w:val="none"/>
        </w:rPr>
      </w:pPr>
      <w:r>
        <w:rPr>
          <w:rFonts w:hint="eastAsia" w:ascii="宋体" w:hAnsi="宋体" w:cs="宋体"/>
          <w:b/>
          <w:color w:val="000000"/>
          <w:szCs w:val="21"/>
          <w:highlight w:val="none"/>
        </w:rPr>
        <w:t xml:space="preserve">    10、谈判响应的语言及度量衡单位</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    10.2、除竞争性谈判文件中另有</w:t>
      </w:r>
      <w:r>
        <w:rPr>
          <w:rFonts w:hint="eastAsia" w:ascii="宋体" w:hAnsi="宋体" w:cs="宋体"/>
          <w:color w:val="000000"/>
          <w:highlight w:val="none"/>
        </w:rPr>
        <w:t>约定</w:t>
      </w:r>
      <w:r>
        <w:rPr>
          <w:rFonts w:hint="eastAsia" w:ascii="宋体" w:hAnsi="宋体" w:cs="宋体"/>
          <w:color w:val="000000"/>
          <w:szCs w:val="21"/>
          <w:highlight w:val="none"/>
        </w:rPr>
        <w:t>外，谈判响应文件所使用的度量衡均须采用中华人民共和国法定计量单位。</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11、谈判响应文件的构成</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11.1、谈判响应文件应该按照“谈判响应文件格式”规定的内容和顺序进行编写。</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11.2、谈判响应人应递交“谈判响应人须知前附表”中规定份数的谈判响应文件。谈判响应文件须清楚地标明“正本”或“副本”字样，正本与副本内容一致，若正本与副本不一致，以正本为准。</w:t>
      </w:r>
    </w:p>
    <w:p>
      <w:pPr>
        <w:spacing w:line="360" w:lineRule="auto"/>
        <w:ind w:firstLine="420" w:firstLineChars="200"/>
        <w:rPr>
          <w:rFonts w:hint="eastAsia" w:ascii="宋体" w:hAnsi="宋体"/>
          <w:szCs w:val="21"/>
          <w:highlight w:val="none"/>
        </w:rPr>
      </w:pPr>
      <w:r>
        <w:rPr>
          <w:rFonts w:hint="eastAsia" w:ascii="宋体" w:hAnsi="宋体"/>
          <w:szCs w:val="21"/>
          <w:highlight w:val="none"/>
        </w:rPr>
        <w:t>11.3、谈判响应人必须对其谈判响应文件的真实性与准确性负责。谈判响应人一旦成交，其谈判响应文件将作为合同的重要组成部分。</w:t>
      </w:r>
    </w:p>
    <w:p>
      <w:pPr>
        <w:spacing w:line="360" w:lineRule="auto"/>
        <w:ind w:firstLine="420" w:firstLineChars="200"/>
        <w:rPr>
          <w:rFonts w:hint="eastAsia"/>
          <w:highlight w:val="none"/>
        </w:rPr>
      </w:pPr>
      <w:r>
        <w:rPr>
          <w:rFonts w:hint="eastAsia" w:ascii="宋体" w:hAnsi="宋体" w:cs="宋体"/>
          <w:color w:val="auto"/>
          <w:szCs w:val="21"/>
          <w:highlight w:val="none"/>
        </w:rPr>
        <w:t>11.4、谈判响应人提供的产品质量和服务均能满足竞争性谈判文件</w:t>
      </w:r>
      <w:r>
        <w:rPr>
          <w:rFonts w:hint="eastAsia" w:ascii="宋体" w:hAnsi="宋体" w:cs="宋体"/>
          <w:color w:val="auto"/>
          <w:highlight w:val="none"/>
        </w:rPr>
        <w:t>约定</w:t>
      </w:r>
      <w:r>
        <w:rPr>
          <w:rFonts w:hint="eastAsia" w:ascii="宋体" w:hAnsi="宋体" w:cs="宋体"/>
          <w:color w:val="auto"/>
          <w:szCs w:val="21"/>
          <w:highlight w:val="none"/>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12、谈判响应报价</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12.1、谈判响应文件的</w:t>
      </w:r>
      <w:r>
        <w:rPr>
          <w:rFonts w:hint="eastAsia" w:ascii="宋体" w:hAnsi="宋体" w:cs="宋体"/>
          <w:color w:val="000000" w:themeColor="text1"/>
          <w:szCs w:val="21"/>
          <w:highlight w:val="none"/>
          <w14:textFill>
            <w14:solidFill>
              <w14:schemeClr w14:val="tx1"/>
            </w14:solidFill>
          </w14:textFill>
        </w:rPr>
        <w:t>服务</w:t>
      </w:r>
      <w:r>
        <w:rPr>
          <w:rFonts w:hint="eastAsia" w:ascii="宋体" w:hAnsi="宋体" w:cs="宋体"/>
          <w:color w:val="000000"/>
          <w:szCs w:val="21"/>
          <w:highlight w:val="none"/>
        </w:rPr>
        <w:t>报价表(首轮）上应清楚地标明谈判响应人拟</w:t>
      </w:r>
      <w:r>
        <w:rPr>
          <w:rFonts w:hint="eastAsia" w:ascii="宋体" w:hAnsi="宋体"/>
          <w:color w:val="000000"/>
          <w:szCs w:val="21"/>
          <w:highlight w:val="none"/>
        </w:rPr>
        <w:t>服务的名称</w:t>
      </w:r>
      <w:r>
        <w:rPr>
          <w:rFonts w:hint="eastAsia" w:ascii="宋体" w:hAnsi="宋体"/>
          <w:color w:val="000000"/>
          <w:szCs w:val="21"/>
          <w:highlight w:val="none"/>
          <w:lang w:eastAsia="zh-CN"/>
        </w:rPr>
        <w:t>、</w:t>
      </w:r>
      <w:r>
        <w:rPr>
          <w:rFonts w:hint="eastAsia" w:ascii="宋体" w:hAnsi="宋体"/>
          <w:color w:val="000000"/>
          <w:szCs w:val="21"/>
          <w:highlight w:val="none"/>
        </w:rPr>
        <w:t>价格等内容。</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000000"/>
          <w:szCs w:val="21"/>
          <w:highlight w:val="none"/>
        </w:rPr>
      </w:pPr>
      <w:r>
        <w:rPr>
          <w:rFonts w:hint="eastAsia" w:ascii="宋体" w:hAnsi="宋体" w:cs="宋体"/>
          <w:color w:val="000000"/>
          <w:szCs w:val="21"/>
          <w:highlight w:val="none"/>
        </w:rPr>
        <w:t>12.3、谈判响应人的报价应包含满足本次采购需求的所有费用</w:t>
      </w:r>
      <w:r>
        <w:rPr>
          <w:rFonts w:hint="eastAsia" w:ascii="宋体" w:hAnsi="宋体"/>
          <w:color w:val="000000"/>
          <w:szCs w:val="21"/>
          <w:highlight w:val="none"/>
        </w:rPr>
        <w:t>（包括但不限于：</w:t>
      </w:r>
      <w:r>
        <w:rPr>
          <w:rFonts w:hint="eastAsia" w:ascii="宋体" w:hAnsi="宋体" w:cs="宋体"/>
          <w:color w:val="000000"/>
          <w:szCs w:val="21"/>
          <w:highlight w:val="none"/>
        </w:rPr>
        <w:t>人工费、材料费、交通费、培训费、印刷费、管理费、保险、税金等）。</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12.4、谈判响应报价高于最高限价的谈判响应无效。</w:t>
      </w:r>
    </w:p>
    <w:p>
      <w:pPr>
        <w:spacing w:line="360" w:lineRule="auto"/>
        <w:ind w:firstLine="420" w:firstLineChars="200"/>
        <w:rPr>
          <w:rFonts w:ascii="宋体" w:hAnsi="宋体"/>
          <w:szCs w:val="21"/>
          <w:highlight w:val="none"/>
        </w:rPr>
      </w:pPr>
      <w:r>
        <w:rPr>
          <w:rFonts w:hint="eastAsia" w:ascii="宋体" w:hAnsi="宋体"/>
          <w:szCs w:val="21"/>
          <w:highlight w:val="none"/>
        </w:rPr>
        <w:t>12.</w:t>
      </w:r>
      <w:r>
        <w:rPr>
          <w:rFonts w:ascii="宋体" w:hAnsi="宋体"/>
          <w:szCs w:val="21"/>
          <w:highlight w:val="none"/>
        </w:rPr>
        <w:t>5</w:t>
      </w:r>
      <w:r>
        <w:rPr>
          <w:rFonts w:hint="eastAsia" w:ascii="宋体" w:hAnsi="宋体"/>
          <w:szCs w:val="21"/>
          <w:highlight w:val="none"/>
        </w:rPr>
        <w:t>、谈判响应文件内容不一致的确认。</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.5</w:t>
      </w:r>
      <w:r>
        <w:rPr>
          <w:rFonts w:ascii="宋体" w:hAnsi="宋体" w:cs="宋体"/>
          <w:color w:val="000000"/>
          <w:szCs w:val="21"/>
          <w:highlight w:val="none"/>
        </w:rPr>
        <w:t>.1</w:t>
      </w:r>
      <w:r>
        <w:rPr>
          <w:rFonts w:hint="eastAsia" w:ascii="宋体" w:hAnsi="宋体" w:cs="宋体"/>
          <w:color w:val="000000"/>
          <w:szCs w:val="21"/>
          <w:highlight w:val="none"/>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w:t>
      </w:r>
      <w:r>
        <w:rPr>
          <w:rFonts w:ascii="宋体" w:hAnsi="宋体" w:cs="宋体"/>
          <w:color w:val="000000"/>
          <w:szCs w:val="21"/>
          <w:highlight w:val="none"/>
        </w:rPr>
        <w:t>5.2</w:t>
      </w:r>
      <w:r>
        <w:rPr>
          <w:rFonts w:hint="eastAsia" w:ascii="宋体" w:hAnsi="宋体" w:cs="宋体"/>
          <w:color w:val="000000"/>
          <w:szCs w:val="21"/>
          <w:highlight w:val="none"/>
        </w:rPr>
        <w:t>、若大写金额和小写金额不一致的，以大写金额为准;</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w:t>
      </w:r>
      <w:r>
        <w:rPr>
          <w:rFonts w:ascii="宋体" w:hAnsi="宋体" w:cs="宋体"/>
          <w:color w:val="000000"/>
          <w:szCs w:val="21"/>
          <w:highlight w:val="none"/>
        </w:rPr>
        <w:t>5.3</w:t>
      </w:r>
      <w:r>
        <w:rPr>
          <w:rFonts w:hint="eastAsia" w:ascii="宋体" w:hAnsi="宋体" w:cs="宋体"/>
          <w:color w:val="000000"/>
          <w:szCs w:val="21"/>
          <w:highlight w:val="none"/>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w:t>
      </w:r>
      <w:r>
        <w:rPr>
          <w:rFonts w:ascii="宋体" w:hAnsi="宋体" w:cs="宋体"/>
          <w:color w:val="000000"/>
          <w:szCs w:val="21"/>
          <w:highlight w:val="none"/>
        </w:rPr>
        <w:t>5.4</w:t>
      </w:r>
      <w:r>
        <w:rPr>
          <w:rFonts w:hint="eastAsia" w:ascii="宋体" w:hAnsi="宋体" w:cs="宋体"/>
          <w:color w:val="000000"/>
          <w:szCs w:val="21"/>
          <w:highlight w:val="none"/>
        </w:rPr>
        <w:t>、总价金额与按单价汇总金额不一致的，以单价金额计算结果为准。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谈判响应货币：</w:t>
      </w:r>
      <w:r>
        <w:rPr>
          <w:rFonts w:hint="eastAsia" w:ascii="宋体" w:hAnsi="宋体" w:cs="宋体"/>
          <w:color w:val="000000"/>
          <w:szCs w:val="21"/>
          <w:highlight w:val="none"/>
        </w:rPr>
        <w:t>人民币。</w:t>
      </w:r>
    </w:p>
    <w:p>
      <w:pPr>
        <w:numPr>
          <w:ilvl w:val="0"/>
          <w:numId w:val="1"/>
        </w:numPr>
        <w:spacing w:line="360" w:lineRule="auto"/>
        <w:ind w:firstLine="422" w:firstLineChars="200"/>
        <w:rPr>
          <w:rFonts w:hint="default" w:ascii="宋体" w:hAnsi="宋体" w:eastAsia="宋体" w:cs="宋体"/>
          <w:color w:val="auto"/>
          <w:szCs w:val="21"/>
          <w:highlight w:val="none"/>
          <w:lang w:val="en-US" w:eastAsia="zh-CN"/>
        </w:rPr>
      </w:pPr>
      <w:r>
        <w:rPr>
          <w:rFonts w:hint="eastAsia" w:ascii="宋体" w:hAnsi="宋体" w:cs="宋体"/>
          <w:b/>
          <w:color w:val="auto"/>
          <w:szCs w:val="21"/>
          <w:highlight w:val="none"/>
        </w:rPr>
        <w:t>谈判响应保证金</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本项目不收取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w:t>
      </w:r>
      <w:r>
        <w:rPr>
          <w:rFonts w:hint="eastAsia" w:ascii="宋体" w:hAnsi="宋体"/>
          <w:color w:val="auto"/>
          <w:szCs w:val="21"/>
          <w:highlight w:val="none"/>
          <w:lang w:val="en-US" w:eastAsia="zh-CN"/>
        </w:rPr>
        <w:t>1</w:t>
      </w:r>
      <w:r>
        <w:rPr>
          <w:rFonts w:hint="eastAsia" w:ascii="宋体" w:hAnsi="宋体"/>
          <w:color w:val="auto"/>
          <w:szCs w:val="21"/>
          <w:highlight w:val="none"/>
        </w:rPr>
        <w:t>、有下列情形之一的，视为谈判响应人串通投标，其谈判响应无效：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（1）不同谈判响应人的谈判响应文件由同一单位或者个人编制；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（2）不同谈判响应人委托同一单位或者个人办理谈判响应事宜；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（3）不同谈判响应人的谈判响应文件载明的项目管理成员或联系人员为同一人；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（4）不同谈判响应人的谈判响应文件异常一致或者谈判响应报价呈规律性差异；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（5）不同谈判响应人的谈判响应文件相互混装；</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b/>
          <w:color w:val="auto"/>
          <w:szCs w:val="21"/>
          <w:highlight w:val="none"/>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（1）成交后无正当理由不与采购单位签订合同的；</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（3）将成交项目转让给他人、或在谈判响应文件中未说明，将成交项目分包给他人的；</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谈判响应人相互串通或者与采购人串通的；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（5）谈判响应人以向采购人或者谈判小组成员行贿的手段谋取成交的；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（6）谈判响应人以他人名义谈判响应或者以其他方式弄虚作假，骗取成交的；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（7）违法与采购人就价格、方案等实质性内容进行谈判，影响成交结果的；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（8）法律、法规规定及竞争性谈判文件约定的其他情形。</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15、谈判响应有效期</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15.1、谈判响应有效期见“谈判响应人须知前附表”的约定。</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3"/>
        <w:spacing w:line="360" w:lineRule="exact"/>
        <w:ind w:firstLine="422" w:firstLineChars="200"/>
        <w:rPr>
          <w:rFonts w:hAnsi="宋体" w:cs="宋体"/>
          <w:b/>
          <w:color w:val="000000"/>
          <w:szCs w:val="21"/>
          <w:highlight w:val="none"/>
        </w:rPr>
      </w:pPr>
      <w:r>
        <w:rPr>
          <w:rFonts w:hint="eastAsia" w:hAnsi="宋体" w:cs="宋体"/>
          <w:b/>
          <w:color w:val="000000"/>
          <w:szCs w:val="21"/>
          <w:highlight w:val="none"/>
        </w:rPr>
        <w:t>16、谈判响应文件的签署</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16.1、谈判响应人应按竞争性谈判文件约定的格式，编制并提交谈判响应文件。</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16.2、</w:t>
      </w:r>
      <w:r>
        <w:rPr>
          <w:rFonts w:hint="eastAsia" w:ascii="宋体" w:hAnsi="宋体" w:cs="宋体"/>
          <w:color w:val="auto"/>
          <w:szCs w:val="21"/>
          <w:highlight w:val="none"/>
        </w:rPr>
        <w:t>谈判响应文件应由谈判响应人的法定代表人</w:t>
      </w:r>
      <w:r>
        <w:rPr>
          <w:rFonts w:hint="eastAsia" w:ascii="宋体" w:hAnsi="宋体" w:cs="宋体"/>
          <w:color w:val="auto"/>
          <w:szCs w:val="21"/>
          <w:highlight w:val="none"/>
          <w:lang w:val="en-US" w:eastAsia="zh-CN"/>
        </w:rPr>
        <w:t>或委托代理人签字或</w:t>
      </w:r>
      <w:r>
        <w:rPr>
          <w:rFonts w:hint="eastAsia" w:ascii="宋体" w:hAnsi="宋体" w:cs="宋体"/>
          <w:color w:val="auto"/>
          <w:szCs w:val="21"/>
          <w:highlight w:val="none"/>
        </w:rPr>
        <w:t>加盖印章，并加盖谈判响应人公章。</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16.3、谈判响应文件不得行间插字、涂改或增删。</w:t>
      </w:r>
    </w:p>
    <w:p>
      <w:pPr>
        <w:widowControl/>
        <w:spacing w:line="500" w:lineRule="exact"/>
        <w:ind w:firstLine="420"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szCs w:val="21"/>
          <w:highlight w:val="none"/>
        </w:rPr>
        <w:t>16.4、</w:t>
      </w:r>
      <w:r>
        <w:rPr>
          <w:rFonts w:hint="eastAsia" w:ascii="宋体" w:hAnsi="宋体" w:cs="宋体"/>
          <w:b/>
          <w:color w:val="000000" w:themeColor="text1"/>
          <w:highlight w:val="none"/>
          <w14:textFill>
            <w14:solidFill>
              <w14:schemeClr w14:val="tx1"/>
            </w14:solidFill>
          </w14:textFill>
        </w:rPr>
        <w:t>谈判响应文件封面、谈判响应函、服务报价表（首轮）、最终报价表、服务内容及质量要求响应表均应加盖谈判响应人公章并经法定代表人或委托代理人签字或加盖印章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spacing w:val="-2"/>
          <w:highlight w:val="none"/>
          <w14:textFill>
            <w14:solidFill>
              <w14:schemeClr w14:val="tx1"/>
            </w14:solidFill>
          </w14:textFill>
        </w:rPr>
        <w:t>谈判响应文件封面、谈判响应函及服务报价表（首轮）、最终报价表、</w:t>
      </w:r>
      <w:r>
        <w:rPr>
          <w:rFonts w:hint="eastAsia" w:ascii="宋体" w:hAnsi="宋体" w:cs="宋体"/>
          <w:b/>
          <w:color w:val="000000" w:themeColor="text1"/>
          <w:highlight w:val="none"/>
          <w14:textFill>
            <w14:solidFill>
              <w14:schemeClr w14:val="tx1"/>
            </w14:solidFill>
          </w14:textFill>
        </w:rPr>
        <w:t>服务内容及质量要求响应表</w:t>
      </w:r>
      <w:r>
        <w:rPr>
          <w:rFonts w:hint="eastAsia" w:ascii="宋体" w:hAnsi="宋体" w:cs="宋体"/>
          <w:b/>
          <w:color w:val="000000" w:themeColor="text1"/>
          <w:highlight w:val="none"/>
          <w:lang w:eastAsia="zh-CN"/>
          <w14:textFill>
            <w14:solidFill>
              <w14:schemeClr w14:val="tx1"/>
            </w14:solidFill>
          </w14:textFill>
        </w:rPr>
        <w:t>、授权书</w:t>
      </w:r>
      <w:r>
        <w:rPr>
          <w:rFonts w:hint="eastAsia" w:ascii="宋体" w:hAnsi="宋体" w:cs="宋体"/>
          <w:b/>
          <w:color w:val="000000" w:themeColor="text1"/>
          <w:highlight w:val="none"/>
          <w14:textFill>
            <w14:solidFill>
              <w14:schemeClr w14:val="tx1"/>
            </w14:solidFill>
          </w14:textFill>
        </w:rPr>
        <w:t>的签字或盖章</w:t>
      </w:r>
      <w:r>
        <w:rPr>
          <w:rFonts w:hint="eastAsia" w:ascii="宋体" w:hAnsi="宋体" w:cs="宋体"/>
          <w:b/>
          <w:color w:val="000000" w:themeColor="text1"/>
          <w:spacing w:val="-2"/>
          <w:highlight w:val="none"/>
          <w14:textFill>
            <w14:solidFill>
              <w14:schemeClr w14:val="tx1"/>
            </w14:solidFill>
          </w14:textFill>
        </w:rPr>
        <w:t>不符合谈判文件要求的，谈判小组可要求其法定代表人或其委托的委托代理人补齐签字或承诺在签订合同前按照谈判文件要求加盖印章。</w:t>
      </w:r>
    </w:p>
    <w:p>
      <w:pPr>
        <w:pStyle w:val="6"/>
        <w:numPr>
          <w:ilvl w:val="0"/>
          <w:numId w:val="2"/>
        </w:numPr>
        <w:ind w:firstLine="472" w:firstLineChars="196"/>
        <w:rPr>
          <w:rFonts w:hAnsi="宋体" w:cs="宋体"/>
          <w:color w:val="000000"/>
          <w:highlight w:val="none"/>
        </w:rPr>
      </w:pPr>
      <w:bookmarkStart w:id="61" w:name="_Toc54939194"/>
      <w:bookmarkStart w:id="62" w:name="_Toc25319"/>
      <w:r>
        <w:rPr>
          <w:rFonts w:hint="eastAsia" w:hAnsi="宋体" w:cs="宋体"/>
          <w:color w:val="000000"/>
          <w:highlight w:val="none"/>
        </w:rPr>
        <w:t>谈判响应文件的提交</w:t>
      </w:r>
      <w:bookmarkEnd w:id="61"/>
      <w:bookmarkEnd w:id="62"/>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响应文件需装订并编码，不得采用活页装订。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供应商应将响应文件的正本、副本同时密封于一个文件袋内。包装密封，并在封袋的封口处加盖单位公章。</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rPr>
        <w:t>.3</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密封袋上应写明：</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采购人名称：</w:t>
      </w: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谈判响应人名称（加盖谈判响应人公章）。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63" w:name="_Toc23598"/>
      <w:bookmarkStart w:id="64"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6"/>
        <w:ind w:firstLine="472" w:firstLineChars="196"/>
        <w:rPr>
          <w:rFonts w:hAnsi="宋体" w:cs="宋体"/>
          <w:color w:val="000000"/>
          <w:highlight w:val="none"/>
        </w:rPr>
      </w:pPr>
      <w:r>
        <w:rPr>
          <w:rFonts w:hint="eastAsia" w:hAnsi="宋体" w:cs="宋体"/>
          <w:color w:val="000000"/>
          <w:highlight w:val="none"/>
        </w:rPr>
        <w:t>五、</w:t>
      </w:r>
      <w:bookmarkEnd w:id="63"/>
      <w:r>
        <w:rPr>
          <w:rFonts w:hint="eastAsia" w:hAnsi="宋体" w:cs="宋体"/>
          <w:color w:val="000000"/>
          <w:highlight w:val="none"/>
        </w:rPr>
        <w:t>谈判程序</w:t>
      </w:r>
      <w:bookmarkEnd w:id="64"/>
    </w:p>
    <w:p>
      <w:pPr>
        <w:widowControl/>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20、谈判时间和地点：</w:t>
      </w:r>
      <w:r>
        <w:rPr>
          <w:rFonts w:hint="eastAsia" w:ascii="宋体" w:hAnsi="宋体" w:cs="宋体"/>
          <w:color w:val="auto"/>
          <w:szCs w:val="21"/>
          <w:highlight w:val="none"/>
        </w:rPr>
        <w:t>采购单位将在“谈判响应人须知前附表”约定的时间和地点谈判，并邀请监督人员、所有谈判响应人的法定代表人或</w:t>
      </w:r>
      <w:r>
        <w:rPr>
          <w:rFonts w:hint="eastAsia" w:ascii="宋体" w:hAnsi="宋体" w:cs="宋体"/>
          <w:color w:val="auto"/>
          <w:szCs w:val="21"/>
          <w:highlight w:val="none"/>
          <w:lang w:val="en-US" w:eastAsia="zh-CN"/>
        </w:rPr>
        <w:t>委托代理人</w:t>
      </w:r>
      <w:r>
        <w:rPr>
          <w:rFonts w:hint="eastAsia" w:ascii="宋体" w:hAnsi="宋体" w:cs="宋体"/>
          <w:color w:val="auto"/>
          <w:szCs w:val="21"/>
          <w:highlight w:val="none"/>
        </w:rPr>
        <w:t>按时参加。</w:t>
      </w:r>
    </w:p>
    <w:p>
      <w:pPr>
        <w:widowControl/>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复会，宣布评审结果。</w:t>
      </w:r>
    </w:p>
    <w:p>
      <w:pPr>
        <w:widowControl/>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21.2、查验证件</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21.2.1、采购人审查谈判响应人以下证件，</w:t>
      </w:r>
      <w:r>
        <w:rPr>
          <w:rFonts w:hint="eastAsia" w:ascii="宋体" w:hAnsi="宋体"/>
          <w:color w:val="auto"/>
          <w:szCs w:val="21"/>
          <w:highlight w:val="none"/>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highlight w:val="none"/>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 xml:space="preserve">书格式见附件）  </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000000"/>
          <w:szCs w:val="21"/>
          <w:highlight w:val="none"/>
        </w:rPr>
      </w:pPr>
      <w:r>
        <w:rPr>
          <w:rFonts w:hint="eastAsia" w:ascii="宋体" w:hAnsi="宋体" w:cs="宋体"/>
          <w:b/>
          <w:bCs/>
          <w:color w:val="000000"/>
          <w:szCs w:val="21"/>
          <w:highlight w:val="none"/>
        </w:rPr>
        <w:t>22、谈判响应文件的有效性</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22.1、谈判响应文件有下列情形之一的，将不予受理： </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（1）逾期送达的或者未送达至指定地点的； </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（2）未按竞争性谈判文件要求包装、密封的。</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22.2.1、谈判响应人未按要求参加开标会、未按要求出示</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供现场查验或经查验不合格的；</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22.2.2</w:t>
      </w:r>
      <w:r>
        <w:rPr>
          <w:rFonts w:hint="eastAsia" w:ascii="宋体" w:hAnsi="宋体" w:cs="宋体"/>
          <w:color w:val="000000"/>
          <w:highlight w:val="none"/>
        </w:rPr>
        <w:t>谈判响应文件封面、谈判响应函、</w:t>
      </w:r>
      <w:r>
        <w:rPr>
          <w:rFonts w:hint="eastAsia" w:ascii="宋体" w:hAnsi="宋体" w:cs="宋体"/>
          <w:color w:val="000000"/>
          <w:highlight w:val="none"/>
          <w:lang w:val="en-US" w:eastAsia="zh-CN"/>
        </w:rPr>
        <w:t>服务</w:t>
      </w:r>
      <w:r>
        <w:rPr>
          <w:rFonts w:hint="eastAsia" w:ascii="宋体" w:hAnsi="宋体" w:cs="宋体"/>
          <w:color w:val="000000"/>
          <w:highlight w:val="none"/>
        </w:rPr>
        <w:t>报价表（首轮）、最终报价表、服务内容及质量响应表</w:t>
      </w:r>
      <w:r>
        <w:rPr>
          <w:rFonts w:hint="eastAsia" w:ascii="宋体" w:hAnsi="宋体" w:cs="宋体"/>
          <w:color w:val="000000"/>
          <w:szCs w:val="21"/>
          <w:highlight w:val="none"/>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22.2.3、谈判响应报价高于谈判最高限价的；</w:t>
      </w:r>
    </w:p>
    <w:p>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22.2.4、法律、法规及竞争性谈判文件约定的其它情形。</w:t>
      </w:r>
    </w:p>
    <w:p>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22.3、谈判响应人存在下列情形之一，经谈判小组评审后，认定为谈判响应无效：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(1)被责令停业且处于有效期内的；</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(2)被安庆市行政区域内公共资源交易监管部门限制投标资格且处于有效期内；</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(3)财产被接管或冻结可能影响本项目正常实施的；</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(4)法律、法规规定及竞争性谈判文件约定的其他情形。</w:t>
      </w:r>
    </w:p>
    <w:p>
      <w:pPr>
        <w:widowControl/>
        <w:spacing w:line="500" w:lineRule="exact"/>
        <w:ind w:firstLine="420"/>
        <w:jc w:val="left"/>
        <w:rPr>
          <w:rFonts w:ascii="宋体" w:hAnsi="宋体" w:cs="宋体"/>
          <w:color w:val="000000"/>
          <w:szCs w:val="21"/>
          <w:highlight w:val="none"/>
        </w:rPr>
      </w:pPr>
      <w:r>
        <w:rPr>
          <w:rFonts w:ascii="宋体" w:hAnsi="宋体"/>
          <w:szCs w:val="21"/>
          <w:highlight w:val="none"/>
        </w:rPr>
        <w:t>22.4 各级人民政府财政部门依法对参加政府采购活动的供应商作出的禁止参加政府采购活动等行政处罚决定在全国范围内生效。</w:t>
      </w:r>
      <w:r>
        <w:rPr>
          <w:rFonts w:hint="eastAsia" w:ascii="宋体" w:hAnsi="宋体"/>
          <w:szCs w:val="21"/>
          <w:highlight w:val="none"/>
        </w:rPr>
        <w:t>谈判响应人受到</w:t>
      </w:r>
      <w:r>
        <w:rPr>
          <w:rFonts w:ascii="宋体" w:hAnsi="宋体"/>
          <w:szCs w:val="21"/>
          <w:highlight w:val="none"/>
        </w:rPr>
        <w:t>财政部门依法</w:t>
      </w:r>
      <w:r>
        <w:rPr>
          <w:rFonts w:hint="eastAsia" w:ascii="宋体" w:hAnsi="宋体"/>
          <w:szCs w:val="21"/>
          <w:highlight w:val="none"/>
        </w:rPr>
        <w:t>作出的</w:t>
      </w:r>
      <w:r>
        <w:rPr>
          <w:rFonts w:ascii="宋体" w:hAnsi="宋体"/>
          <w:szCs w:val="21"/>
          <w:highlight w:val="none"/>
        </w:rPr>
        <w:t>禁止参加政府采购活动</w:t>
      </w:r>
      <w:r>
        <w:rPr>
          <w:rFonts w:hint="eastAsia" w:ascii="宋体" w:hAnsi="宋体"/>
          <w:szCs w:val="21"/>
          <w:highlight w:val="none"/>
        </w:rPr>
        <w:t>且在有效期内的</w:t>
      </w:r>
      <w:r>
        <w:rPr>
          <w:rFonts w:ascii="宋体" w:hAnsi="宋体"/>
          <w:szCs w:val="21"/>
          <w:highlight w:val="none"/>
        </w:rPr>
        <w:t>行政处罚</w:t>
      </w:r>
      <w:r>
        <w:rPr>
          <w:rFonts w:hint="eastAsia" w:ascii="宋体" w:hAnsi="宋体"/>
          <w:szCs w:val="21"/>
          <w:highlight w:val="none"/>
        </w:rPr>
        <w:t>，其谈判响应无效。</w:t>
      </w:r>
    </w:p>
    <w:p>
      <w:pPr>
        <w:pStyle w:val="6"/>
        <w:spacing w:line="360" w:lineRule="auto"/>
        <w:ind w:firstLine="472" w:firstLineChars="196"/>
        <w:rPr>
          <w:rFonts w:hAnsi="宋体" w:cs="宋体"/>
          <w:color w:val="000000"/>
          <w:highlight w:val="none"/>
        </w:rPr>
      </w:pPr>
      <w:bookmarkStart w:id="65" w:name="_Toc28310"/>
      <w:bookmarkStart w:id="66" w:name="_Toc54939196"/>
      <w:r>
        <w:rPr>
          <w:rFonts w:hint="eastAsia" w:hAnsi="宋体" w:cs="宋体"/>
          <w:color w:val="000000"/>
          <w:highlight w:val="none"/>
        </w:rPr>
        <w:t>六、</w:t>
      </w:r>
      <w:bookmarkEnd w:id="65"/>
      <w:r>
        <w:rPr>
          <w:rFonts w:hint="eastAsia" w:hAnsi="宋体" w:cs="宋体"/>
          <w:color w:val="000000"/>
          <w:highlight w:val="none"/>
        </w:rPr>
        <w:t>谈判</w:t>
      </w:r>
      <w:bookmarkEnd w:id="66"/>
    </w:p>
    <w:p>
      <w:pPr>
        <w:widowControl/>
        <w:spacing w:line="360" w:lineRule="auto"/>
        <w:jc w:val="left"/>
        <w:rPr>
          <w:rFonts w:ascii="宋体" w:hAnsi="宋体" w:cs="宋体"/>
          <w:color w:val="000000"/>
          <w:szCs w:val="21"/>
          <w:highlight w:val="none"/>
        </w:rPr>
      </w:pPr>
      <w:r>
        <w:rPr>
          <w:rFonts w:hint="eastAsia" w:ascii="宋体" w:hAnsi="宋体" w:cs="宋体"/>
          <w:b/>
          <w:bCs/>
          <w:color w:val="000000"/>
          <w:szCs w:val="21"/>
          <w:highlight w:val="none"/>
        </w:rPr>
        <w:t xml:space="preserve">    23、谈判小组</w:t>
      </w:r>
      <w:r>
        <w:rPr>
          <w:rFonts w:hint="eastAsia" w:ascii="宋体" w:hAnsi="宋体" w:cs="宋体"/>
          <w:color w:val="000000"/>
          <w:szCs w:val="21"/>
          <w:highlight w:val="none"/>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24、评审方法：</w:t>
      </w:r>
      <w:r>
        <w:rPr>
          <w:rFonts w:hint="eastAsia" w:ascii="宋体" w:hAnsi="宋体" w:cs="宋体"/>
          <w:color w:val="000000"/>
          <w:szCs w:val="21"/>
          <w:highlight w:val="none"/>
        </w:rPr>
        <w:t>本次谈判采用符合性评审的有效最低价评审方法。</w:t>
      </w:r>
    </w:p>
    <w:p>
      <w:pPr>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25、评审程序</w:t>
      </w:r>
      <w:r>
        <w:rPr>
          <w:rFonts w:hint="eastAsia" w:ascii="宋体" w:hAnsi="宋体" w:cs="宋体"/>
          <w:color w:val="000000"/>
          <w:szCs w:val="21"/>
          <w:highlight w:val="none"/>
        </w:rPr>
        <w:t>：评审按照谈判响应文件符合性审查、报价评审、澄清有关问题、失信核查和确定成交候选人排序进行评审。</w:t>
      </w:r>
      <w:r>
        <w:rPr>
          <w:rFonts w:hint="eastAsia" w:ascii="宋体" w:hAnsi="宋体" w:cs="宋体"/>
          <w:b/>
          <w:bCs/>
          <w:color w:val="000000"/>
          <w:szCs w:val="21"/>
          <w:highlight w:val="none"/>
        </w:rPr>
        <w:t>如有任一项未通过的则不进入下一项评审。</w:t>
      </w:r>
    </w:p>
    <w:p>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25.1、谈判响应文件符合性审查，包括但不限于以下内容：</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（1）谈判响应人提供的营业执照、</w:t>
      </w:r>
      <w:r>
        <w:rPr>
          <w:rFonts w:hint="eastAsia" w:ascii="宋体" w:hAnsi="宋体"/>
          <w:szCs w:val="21"/>
          <w:highlight w:val="none"/>
        </w:rPr>
        <w:t>税务登记证</w:t>
      </w:r>
      <w:r>
        <w:rPr>
          <w:rFonts w:hint="eastAsia" w:ascii="宋体" w:hAnsi="宋体" w:cs="宋体"/>
          <w:color w:val="000000"/>
          <w:szCs w:val="21"/>
          <w:highlight w:val="none"/>
        </w:rPr>
        <w:t>扫描件合法有效（</w:t>
      </w:r>
      <w:r>
        <w:rPr>
          <w:rFonts w:hint="eastAsia" w:ascii="宋体" w:hAnsi="宋体"/>
          <w:szCs w:val="21"/>
          <w:highlight w:val="none"/>
        </w:rPr>
        <w:t>已办理“三证合一”登记的，只需提供营业执照扫描件</w:t>
      </w:r>
      <w:r>
        <w:rPr>
          <w:rFonts w:hint="eastAsia" w:ascii="宋体" w:hAnsi="宋体" w:cs="宋体"/>
          <w:color w:val="000000"/>
          <w:szCs w:val="21"/>
          <w:highlight w:val="none"/>
        </w:rPr>
        <w:t>）；</w:t>
      </w:r>
      <w:r>
        <w:rPr>
          <w:rFonts w:ascii="宋体" w:hAnsi="宋体" w:cs="宋体"/>
          <w:color w:val="000000"/>
          <w:szCs w:val="21"/>
          <w:highlight w:val="none"/>
        </w:rPr>
        <w:t xml:space="preserve">     </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供应商声明函符合规定格式；</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）谈判响应文件是否按竞争性谈判文件的要求进行编制、盖章和标记；</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）竞争性谈判文件要求提交的各种证明文件是否真实、完整、合法、有效；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）所提</w:t>
      </w:r>
      <w:r>
        <w:rPr>
          <w:rFonts w:hint="eastAsia" w:ascii="宋体" w:hAnsi="宋体" w:cs="宋体"/>
          <w:color w:val="000000" w:themeColor="text1"/>
          <w:szCs w:val="21"/>
          <w:highlight w:val="none"/>
          <w14:textFill>
            <w14:solidFill>
              <w14:schemeClr w14:val="tx1"/>
            </w14:solidFill>
          </w14:textFill>
        </w:rPr>
        <w:t>供的服务、货</w:t>
      </w:r>
      <w:r>
        <w:rPr>
          <w:rFonts w:hint="eastAsia" w:ascii="宋体" w:hAnsi="宋体" w:cs="宋体"/>
          <w:color w:val="000000"/>
          <w:szCs w:val="21"/>
          <w:highlight w:val="none"/>
        </w:rPr>
        <w:t>物是否有缺少；</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）谈判响应的服务内容及质量要求是否完全响应或优于竞争性谈判文件要求；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）谈判响应文件对法律、法规和竞争性谈判文件其他明确要求的符合性；</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）谈判响应文件是否附有采购人不能接受的条件；</w:t>
      </w:r>
    </w:p>
    <w:p>
      <w:pPr>
        <w:widowControl/>
        <w:spacing w:line="360" w:lineRule="auto"/>
        <w:ind w:firstLine="405"/>
        <w:jc w:val="left"/>
        <w:rPr>
          <w:rFonts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）谈判响应文件是否符合竞争性谈判文件的要求。</w:t>
      </w:r>
    </w:p>
    <w:p>
      <w:pPr>
        <w:widowControl/>
        <w:spacing w:line="500" w:lineRule="exact"/>
        <w:ind w:firstLine="420" w:firstLineChars="200"/>
        <w:jc w:val="left"/>
        <w:rPr>
          <w:rFonts w:ascii="宋体" w:hAnsi="宋体" w:cs="宋体"/>
          <w:b/>
          <w:color w:val="000000"/>
          <w:szCs w:val="21"/>
          <w:highlight w:val="none"/>
        </w:rPr>
      </w:pPr>
      <w:r>
        <w:rPr>
          <w:rFonts w:hint="eastAsia" w:ascii="宋体" w:hAnsi="宋体" w:cs="宋体"/>
          <w:color w:val="000000"/>
          <w:szCs w:val="21"/>
          <w:highlight w:val="none"/>
        </w:rPr>
        <w:t>25.2、</w:t>
      </w:r>
      <w:r>
        <w:rPr>
          <w:rFonts w:hint="eastAsia" w:ascii="宋体" w:hAnsi="宋体" w:cs="宋体"/>
          <w:b/>
          <w:color w:val="000000"/>
          <w:szCs w:val="21"/>
          <w:highlight w:val="none"/>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000000"/>
          <w:szCs w:val="21"/>
          <w:highlight w:val="none"/>
        </w:rPr>
      </w:pPr>
      <w:r>
        <w:rPr>
          <w:rFonts w:hint="eastAsia" w:ascii="宋体" w:hAnsi="宋体" w:cs="宋体"/>
          <w:b/>
          <w:color w:val="000000"/>
          <w:szCs w:val="21"/>
          <w:highlight w:val="none"/>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000000"/>
          <w:szCs w:val="21"/>
          <w:highlight w:val="none"/>
        </w:rPr>
      </w:pPr>
      <w:r>
        <w:rPr>
          <w:rFonts w:hint="eastAsia" w:ascii="宋体" w:hAnsi="宋体" w:cs="宋体"/>
          <w:color w:val="000000"/>
          <w:szCs w:val="21"/>
          <w:highlight w:val="none"/>
        </w:rPr>
        <w:t>25.4、报价评审：谈判响应报价不得超过谈判最高限价，否则报价评审不通过。报价中包含单价与总价的，应审核总价金额与按单价汇总金额是否一致</w:t>
      </w:r>
      <w:r>
        <w:rPr>
          <w:rFonts w:hint="eastAsia" w:ascii="宋体" w:hAnsi="宋体" w:cs="宋体"/>
          <w:b/>
          <w:color w:val="000000"/>
          <w:szCs w:val="21"/>
          <w:highlight w:val="none"/>
        </w:rPr>
        <w:t>。</w:t>
      </w:r>
    </w:p>
    <w:p>
      <w:pPr>
        <w:widowControl/>
        <w:spacing w:line="360" w:lineRule="auto"/>
        <w:ind w:firstLine="430"/>
        <w:jc w:val="left"/>
        <w:rPr>
          <w:rFonts w:ascii="宋体" w:hAnsi="宋体" w:cs="宋体"/>
          <w:color w:val="auto"/>
          <w:szCs w:val="21"/>
          <w:highlight w:val="none"/>
        </w:rPr>
      </w:pPr>
      <w:r>
        <w:rPr>
          <w:rFonts w:hint="eastAsia" w:ascii="宋体" w:hAnsi="宋体" w:cs="宋体"/>
          <w:color w:val="auto"/>
          <w:szCs w:val="21"/>
          <w:highlight w:val="none"/>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highlight w:val="none"/>
        </w:rPr>
      </w:pPr>
      <w:r>
        <w:rPr>
          <w:rFonts w:hint="eastAsia" w:ascii="宋体" w:hAnsi="宋体"/>
          <w:b/>
          <w:szCs w:val="21"/>
          <w:highlight w:val="none"/>
        </w:rPr>
        <w:t>谈判响应人响应报价与公布的预算价（或最高限价)相比降幅过小，或谈判响应人响应报价明显缺乏竞争性的，谈判小组可以否决所有谈判响应文件。</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25.7.1</w:t>
      </w:r>
      <w:r>
        <w:rPr>
          <w:rFonts w:hint="eastAsia" w:ascii="宋体" w:hAnsi="宋体" w:cs="宋体"/>
          <w:color w:val="auto"/>
          <w:szCs w:val="21"/>
          <w:highlight w:val="none"/>
          <w:lang w:eastAsia="zh-CN"/>
        </w:rPr>
        <w:t>、</w:t>
      </w:r>
      <w:r>
        <w:rPr>
          <w:rFonts w:hint="eastAsia" w:ascii="宋体" w:hAnsi="宋体" w:cs="宋体"/>
          <w:b/>
          <w:color w:val="auto"/>
          <w:szCs w:val="21"/>
          <w:highlight w:val="none"/>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25.7.2</w:t>
      </w:r>
      <w:r>
        <w:rPr>
          <w:rFonts w:hint="eastAsia" w:ascii="宋体" w:hAnsi="宋体" w:cs="宋体"/>
          <w:color w:val="auto"/>
          <w:szCs w:val="21"/>
          <w:highlight w:val="none"/>
          <w:lang w:eastAsia="zh-CN"/>
        </w:rPr>
        <w:t>、</w:t>
      </w:r>
      <w:r>
        <w:rPr>
          <w:rFonts w:hint="eastAsia" w:ascii="宋体" w:hAnsi="宋体" w:cs="宋体"/>
          <w:b/>
          <w:color w:val="auto"/>
          <w:szCs w:val="21"/>
          <w:highlight w:val="none"/>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000000"/>
          <w:szCs w:val="21"/>
          <w:highlight w:val="none"/>
        </w:rPr>
      </w:pPr>
      <w:r>
        <w:rPr>
          <w:rFonts w:hint="eastAsia" w:ascii="宋体" w:hAnsi="宋体" w:cs="宋体"/>
          <w:color w:val="000000"/>
          <w:szCs w:val="21"/>
          <w:highlight w:val="none"/>
        </w:rPr>
        <w:t>25.</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、失信核查</w:t>
      </w:r>
    </w:p>
    <w:p>
      <w:pPr>
        <w:widowControl/>
        <w:spacing w:line="500" w:lineRule="exact"/>
        <w:ind w:firstLine="420"/>
        <w:jc w:val="left"/>
        <w:rPr>
          <w:rStyle w:val="31"/>
          <w:color w:val="000000" w:themeColor="text1"/>
          <w:szCs w:val="21"/>
          <w:highlight w:val="none"/>
          <w14:textFill>
            <w14:solidFill>
              <w14:schemeClr w14:val="tx1"/>
            </w14:solidFill>
          </w14:textFill>
        </w:rPr>
      </w:pPr>
      <w:r>
        <w:rPr>
          <w:rFonts w:hint="eastAsia" w:ascii="宋体" w:hAnsi="宋体"/>
          <w:szCs w:val="21"/>
          <w:highlight w:val="none"/>
        </w:rPr>
        <w:t>谈判小组查询排序前三名的谈判响应人信用记录，谈判响应人存在不良信用记录的，谈判小组</w:t>
      </w:r>
      <w:r>
        <w:rPr>
          <w:highlight w:val="none"/>
        </w:rPr>
        <w:fldChar w:fldCharType="begin"/>
      </w:r>
      <w:r>
        <w:rPr>
          <w:highlight w:val="none"/>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highlight w:val="none"/>
        </w:rPr>
        <w:fldChar w:fldCharType="separate"/>
      </w:r>
      <w:r>
        <w:rPr>
          <w:rStyle w:val="31"/>
          <w:rFonts w:hint="eastAsia"/>
          <w:color w:val="000000" w:themeColor="text1"/>
          <w:szCs w:val="21"/>
          <w:highlight w:val="none"/>
          <w:u w:val="none"/>
          <w14:textFill>
            <w14:solidFill>
              <w14:schemeClr w14:val="tx1"/>
            </w14:solidFill>
          </w14:textFill>
        </w:rPr>
        <w:t>不得将其推荐为成交候选人，依序递补，并再次对递补的谈判响应人进行核查及计算信用评审价。</w:t>
      </w:r>
      <w:r>
        <w:rPr>
          <w:rStyle w:val="31"/>
          <w:rFonts w:hint="eastAsia"/>
          <w:color w:val="000000" w:themeColor="text1"/>
          <w:szCs w:val="21"/>
          <w:highlight w:val="none"/>
          <w:u w:val="none"/>
          <w14:textFill>
            <w14:solidFill>
              <w14:schemeClr w14:val="tx1"/>
            </w14:solidFill>
          </w14:textFill>
        </w:rPr>
        <w:fldChar w:fldCharType="end"/>
      </w:r>
    </w:p>
    <w:p>
      <w:pPr>
        <w:widowControl/>
        <w:spacing w:line="500" w:lineRule="exact"/>
        <w:ind w:firstLine="420"/>
        <w:jc w:val="left"/>
        <w:rPr>
          <w:rFonts w:ascii="宋体" w:hAnsi="宋体"/>
          <w:szCs w:val="21"/>
          <w:highlight w:val="none"/>
        </w:rPr>
      </w:pPr>
      <w:r>
        <w:rPr>
          <w:rFonts w:ascii="宋体" w:hAnsi="宋体"/>
          <w:szCs w:val="21"/>
          <w:highlight w:val="none"/>
        </w:rPr>
        <w:t>25.</w:t>
      </w:r>
      <w:r>
        <w:rPr>
          <w:rFonts w:hint="eastAsia" w:ascii="宋体" w:hAnsi="宋体"/>
          <w:szCs w:val="21"/>
          <w:highlight w:val="none"/>
          <w:lang w:val="en-US" w:eastAsia="zh-CN"/>
        </w:rPr>
        <w:t>8</w:t>
      </w:r>
      <w:r>
        <w:rPr>
          <w:rFonts w:ascii="宋体" w:hAnsi="宋体"/>
          <w:szCs w:val="21"/>
          <w:highlight w:val="none"/>
        </w:rPr>
        <w:t>.1</w:t>
      </w:r>
      <w:r>
        <w:rPr>
          <w:rFonts w:hint="eastAsia" w:ascii="宋体" w:hAnsi="宋体"/>
          <w:szCs w:val="21"/>
          <w:highlight w:val="none"/>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000000"/>
          <w:szCs w:val="21"/>
          <w:highlight w:val="none"/>
        </w:rPr>
      </w:pPr>
      <w:r>
        <w:rPr>
          <w:rFonts w:hint="eastAsia" w:ascii="宋体" w:hAnsi="宋体"/>
          <w:szCs w:val="21"/>
          <w:highlight w:val="none"/>
        </w:rPr>
        <w:t>2</w:t>
      </w:r>
      <w:r>
        <w:rPr>
          <w:rFonts w:ascii="宋体" w:hAnsi="宋体"/>
          <w:szCs w:val="21"/>
          <w:highlight w:val="none"/>
        </w:rPr>
        <w:t>5.</w:t>
      </w:r>
      <w:r>
        <w:rPr>
          <w:rFonts w:hint="eastAsia" w:ascii="宋体" w:hAnsi="宋体"/>
          <w:szCs w:val="21"/>
          <w:highlight w:val="none"/>
          <w:lang w:val="en-US" w:eastAsia="zh-CN"/>
        </w:rPr>
        <w:t>8</w:t>
      </w:r>
      <w:r>
        <w:rPr>
          <w:rFonts w:ascii="宋体" w:hAnsi="宋体"/>
          <w:szCs w:val="21"/>
          <w:highlight w:val="none"/>
        </w:rPr>
        <w:t>.2</w:t>
      </w:r>
      <w:r>
        <w:rPr>
          <w:rFonts w:hint="eastAsia" w:ascii="宋体" w:hAnsi="宋体"/>
          <w:szCs w:val="21"/>
          <w:highlight w:val="none"/>
        </w:rPr>
        <w:t>信用信息查询渠道：中国政府采购网（www.ccgp.gov.cn）、“信用中国”网站（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www.creditchina.gov.cn</w:t>
      </w:r>
      <w:r>
        <w:rPr>
          <w:rFonts w:hint="eastAsia"/>
          <w:highlight w:val="none"/>
        </w:rPr>
        <w:fldChar w:fldCharType="end"/>
      </w:r>
      <w:r>
        <w:rPr>
          <w:rFonts w:hint="eastAsia" w:ascii="宋体" w:hAnsi="宋体"/>
          <w:szCs w:val="21"/>
          <w:highlight w:val="none"/>
        </w:rPr>
        <w:t>）。</w:t>
      </w:r>
    </w:p>
    <w:p>
      <w:pPr>
        <w:widowControl/>
        <w:spacing w:line="500" w:lineRule="exact"/>
        <w:ind w:firstLine="42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25.</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color w:val="000000"/>
          <w:szCs w:val="21"/>
          <w:highlight w:val="none"/>
        </w:rPr>
      </w:pPr>
      <w:r>
        <w:rPr>
          <w:rFonts w:hint="eastAsia" w:ascii="宋体" w:hAnsi="宋体" w:cs="宋体"/>
          <w:color w:val="000000"/>
          <w:szCs w:val="21"/>
          <w:highlight w:val="none"/>
        </w:rPr>
        <w:t xml:space="preserve">    </w:t>
      </w:r>
      <w:r>
        <w:rPr>
          <w:rFonts w:hint="eastAsia" w:ascii="宋体" w:hAnsi="宋体" w:cs="宋体"/>
          <w:b/>
          <w:bCs/>
          <w:color w:val="000000"/>
          <w:szCs w:val="21"/>
          <w:highlight w:val="none"/>
        </w:rPr>
        <w:t>26、</w:t>
      </w:r>
      <w:r>
        <w:rPr>
          <w:rFonts w:hint="eastAsia" w:ascii="宋体" w:hAnsi="宋体" w:cs="宋体"/>
          <w:b/>
          <w:color w:val="000000"/>
          <w:szCs w:val="21"/>
          <w:highlight w:val="none"/>
        </w:rPr>
        <w:t>谈判评审</w:t>
      </w:r>
      <w:r>
        <w:rPr>
          <w:rFonts w:hint="eastAsia" w:ascii="宋体" w:hAnsi="宋体" w:cs="宋体"/>
          <w:b/>
          <w:bCs/>
          <w:color w:val="000000"/>
          <w:szCs w:val="21"/>
          <w:highlight w:val="none"/>
        </w:rPr>
        <w:t>异常情况处理</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26.1在竞争性谈判采购中，出现下列情况之一的，应予废标，采购单位重新组织采购：</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 符合专业条件的谈判响应人或者对竞争性谈判文件作实质响应的谈判响应人不足三家的；</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w:t>
      </w:r>
      <w:r>
        <w:rPr>
          <w:rFonts w:hint="eastAsia" w:ascii="宋体" w:hAnsi="宋体" w:cs="宋体"/>
          <w:color w:val="000000"/>
          <w:szCs w:val="21"/>
          <w:highlight w:val="none"/>
        </w:rPr>
        <w:tab/>
      </w:r>
      <w:r>
        <w:rPr>
          <w:rFonts w:hint="eastAsia" w:ascii="宋体" w:hAnsi="宋体" w:cs="宋体"/>
          <w:color w:val="000000"/>
          <w:szCs w:val="21"/>
          <w:highlight w:val="none"/>
        </w:rPr>
        <w:t>出现影响采购公正的违法、违规行为的；</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(3)</w:t>
      </w:r>
      <w:r>
        <w:rPr>
          <w:rFonts w:hint="eastAsia" w:ascii="宋体" w:hAnsi="宋体" w:cs="宋体"/>
          <w:color w:val="000000"/>
          <w:szCs w:val="21"/>
          <w:highlight w:val="none"/>
        </w:rPr>
        <w:tab/>
      </w:r>
      <w:r>
        <w:rPr>
          <w:rFonts w:hint="eastAsia" w:ascii="宋体" w:hAnsi="宋体" w:cs="宋体"/>
          <w:color w:val="000000"/>
          <w:szCs w:val="21"/>
          <w:highlight w:val="none"/>
        </w:rPr>
        <w:t>谈判响应人的总报价均超过了谈判最高限价，采购人不能支付的；</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rPr>
        <w:tab/>
      </w:r>
      <w:r>
        <w:rPr>
          <w:rFonts w:hint="eastAsia" w:ascii="宋体" w:hAnsi="宋体" w:cs="宋体"/>
          <w:color w:val="000000"/>
          <w:szCs w:val="21"/>
          <w:highlight w:val="none"/>
        </w:rPr>
        <w:t>因重大变故，采购任务取消的。</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27、谈判过程的保密性</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27.3、成交人确定后，采购单位不对未成交人就评审过程以及未能成交原因做出任何解释。谈判响应人不得向谈判小组组成人员或其他有关人员询问评审过程的情况和要求提供材料。</w:t>
      </w:r>
      <w:bookmarkStart w:id="67" w:name="_Toc418517858"/>
      <w:bookmarkStart w:id="68" w:name="_Toc417655921"/>
      <w:bookmarkStart w:id="69" w:name="_Toc15032"/>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27.4、服务费</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27.4.1、成交人应在收到缴费通知后三日内按竞争性谈判文件要求缴纳服务费</w:t>
      </w:r>
      <w:r>
        <w:rPr>
          <w:rFonts w:hint="eastAsia" w:ascii="宋体" w:hAnsi="宋体"/>
          <w:color w:val="000000"/>
          <w:szCs w:val="21"/>
          <w:highlight w:val="none"/>
        </w:rPr>
        <w:t>，完成缴费后请</w:t>
      </w:r>
      <w:r>
        <w:rPr>
          <w:rFonts w:ascii="宋体" w:hAnsi="宋体"/>
          <w:color w:val="000000"/>
          <w:szCs w:val="21"/>
          <w:highlight w:val="none"/>
        </w:rPr>
        <w:t>在</w:t>
      </w:r>
      <w:r>
        <w:rPr>
          <w:rFonts w:hint="eastAsia" w:ascii="宋体" w:hAnsi="宋体"/>
          <w:color w:val="000000"/>
          <w:szCs w:val="21"/>
          <w:highlight w:val="none"/>
        </w:rPr>
        <w:t>7</w:t>
      </w:r>
      <w:r>
        <w:rPr>
          <w:rFonts w:ascii="宋体" w:hAnsi="宋体"/>
          <w:color w:val="000000"/>
          <w:szCs w:val="21"/>
          <w:highlight w:val="none"/>
        </w:rPr>
        <w:t>个工作日内前来开具增值税发票，逾期按普票开具，不再开具专票。</w:t>
      </w:r>
    </w:p>
    <w:p>
      <w:pPr>
        <w:widowControl/>
        <w:spacing w:line="360" w:lineRule="auto"/>
        <w:ind w:firstLine="405"/>
        <w:jc w:val="left"/>
        <w:rPr>
          <w:rFonts w:ascii="宋体" w:hAnsi="宋体" w:cs="宋体"/>
          <w:color w:val="000000"/>
          <w:szCs w:val="21"/>
          <w:highlight w:val="none"/>
        </w:rPr>
      </w:pPr>
      <w:r>
        <w:rPr>
          <w:rFonts w:hint="eastAsia" w:ascii="宋体" w:hAnsi="宋体" w:cs="宋体"/>
          <w:color w:val="000000"/>
          <w:szCs w:val="21"/>
          <w:highlight w:val="none"/>
        </w:rPr>
        <w:t>27.4.2、服务费按差额定率累进法计算。</w:t>
      </w:r>
      <w:r>
        <w:rPr>
          <w:rFonts w:hint="eastAsia" w:ascii="宋体" w:hAnsi="宋体" w:cs="宋体"/>
          <w:b/>
          <w:bCs/>
          <w:color w:val="000000"/>
          <w:szCs w:val="21"/>
          <w:highlight w:val="none"/>
          <w:lang w:eastAsia="zh-CN"/>
        </w:rPr>
        <w:t>以成交价</w:t>
      </w:r>
      <w:r>
        <w:rPr>
          <w:rFonts w:hint="eastAsia" w:ascii="宋体" w:hAnsi="宋体" w:cs="宋体"/>
          <w:b/>
          <w:bCs/>
          <w:color w:val="000000"/>
          <w:szCs w:val="21"/>
          <w:highlight w:val="none"/>
          <w:lang w:val="en-US" w:eastAsia="zh-CN"/>
        </w:rPr>
        <w:t>为</w:t>
      </w:r>
      <w:r>
        <w:rPr>
          <w:rFonts w:hint="eastAsia" w:ascii="宋体" w:hAnsi="宋体" w:cs="宋体"/>
          <w:b/>
          <w:bCs/>
          <w:color w:val="000000"/>
          <w:szCs w:val="21"/>
          <w:highlight w:val="none"/>
          <w:lang w:eastAsia="zh-CN"/>
        </w:rPr>
        <w:t>计算基数</w:t>
      </w:r>
      <w:r>
        <w:rPr>
          <w:rFonts w:hint="eastAsia" w:ascii="宋体" w:hAnsi="宋体" w:cs="宋体"/>
          <w:color w:val="000000"/>
          <w:szCs w:val="21"/>
          <w:highlight w:val="none"/>
        </w:rPr>
        <w:t>，按下表约定的</w:t>
      </w:r>
      <w:r>
        <w:rPr>
          <w:rFonts w:hint="eastAsia" w:ascii="宋体" w:hAnsi="宋体" w:cs="宋体"/>
          <w:color w:val="000000"/>
          <w:szCs w:val="21"/>
          <w:highlight w:val="none"/>
          <w:u w:val="single"/>
        </w:rPr>
        <w:t>服务</w:t>
      </w:r>
      <w:r>
        <w:rPr>
          <w:rFonts w:hint="eastAsia" w:ascii="宋体" w:hAnsi="宋体" w:cs="宋体"/>
          <w:color w:val="000000"/>
          <w:szCs w:val="21"/>
          <w:highlight w:val="none"/>
        </w:rPr>
        <w:t>标准的80%收取。</w:t>
      </w:r>
    </w:p>
    <w:tbl>
      <w:tblPr>
        <w:tblStyle w:val="25"/>
        <w:tblW w:w="845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000000"/>
                <w:szCs w:val="21"/>
                <w:highlight w:val="none"/>
              </w:rPr>
            </w:pPr>
            <w:r>
              <w:rPr>
                <w:rFonts w:ascii="宋体" w:hAnsi="宋体" w:cs="宋体"/>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4605" b="508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ascii="宋体" w:hAnsi="宋体" w:cs="宋体"/>
                <w:color w:val="000000"/>
                <w:szCs w:val="21"/>
                <w:highlight w:val="none"/>
              </w:rPr>
              <w:t xml:space="preserve">          费率</w:t>
            </w:r>
          </w:p>
          <w:p>
            <w:pPr>
              <w:rPr>
                <w:rFonts w:ascii="宋体" w:hAnsi="宋体" w:cs="宋体"/>
                <w:color w:val="000000"/>
                <w:szCs w:val="21"/>
                <w:highlight w:val="none"/>
              </w:rPr>
            </w:pPr>
            <w:r>
              <w:rPr>
                <w:rFonts w:hint="eastAsia" w:ascii="宋体" w:hAnsi="宋体" w:cs="宋体"/>
                <w:color w:val="000000"/>
                <w:szCs w:val="21"/>
                <w:highlight w:val="none"/>
              </w:rPr>
              <w:t>成交价</w:t>
            </w:r>
          </w:p>
        </w:tc>
        <w:tc>
          <w:tcPr>
            <w:tcW w:w="1755" w:type="dxa"/>
            <w:vAlign w:val="center"/>
          </w:tcPr>
          <w:p>
            <w:pPr>
              <w:ind w:firstLine="105" w:firstLineChars="50"/>
              <w:jc w:val="center"/>
              <w:rPr>
                <w:rFonts w:ascii="宋体" w:hAnsi="宋体" w:cs="宋体"/>
                <w:color w:val="000000"/>
                <w:szCs w:val="21"/>
                <w:highlight w:val="none"/>
              </w:rPr>
            </w:pPr>
            <w:r>
              <w:rPr>
                <w:rFonts w:hint="eastAsia" w:ascii="宋体" w:hAnsi="宋体" w:cs="宋体"/>
                <w:color w:val="000000"/>
                <w:szCs w:val="21"/>
                <w:highlight w:val="none"/>
              </w:rPr>
              <w:t>货物招标</w:t>
            </w:r>
          </w:p>
        </w:tc>
        <w:tc>
          <w:tcPr>
            <w:tcW w:w="1682"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服务招标</w:t>
            </w:r>
          </w:p>
        </w:tc>
        <w:tc>
          <w:tcPr>
            <w:tcW w:w="2186" w:type="dxa"/>
            <w:vAlign w:val="center"/>
          </w:tcPr>
          <w:p>
            <w:pPr>
              <w:jc w:val="center"/>
              <w:rPr>
                <w:rFonts w:ascii="宋体" w:hAnsi="宋体" w:cs="宋体"/>
                <w:color w:val="000000"/>
                <w:szCs w:val="21"/>
                <w:highlight w:val="none"/>
              </w:rPr>
            </w:pPr>
            <w:r>
              <w:rPr>
                <w:rFonts w:hint="eastAsia" w:ascii="宋体" w:hAnsi="宋体" w:cs="宋体"/>
                <w:color w:val="000000"/>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100万元以下</w:t>
            </w:r>
          </w:p>
        </w:tc>
        <w:tc>
          <w:tcPr>
            <w:tcW w:w="1755" w:type="dxa"/>
          </w:tcPr>
          <w:p>
            <w:pPr>
              <w:jc w:val="center"/>
              <w:rPr>
                <w:rFonts w:ascii="宋体" w:hAnsi="宋体" w:cs="宋体"/>
                <w:color w:val="000000"/>
                <w:szCs w:val="21"/>
                <w:highlight w:val="none"/>
              </w:rPr>
            </w:pPr>
            <w:r>
              <w:rPr>
                <w:rFonts w:hint="eastAsia" w:ascii="宋体" w:hAnsi="宋体" w:cs="宋体"/>
                <w:color w:val="000000"/>
                <w:kern w:val="0"/>
                <w:szCs w:val="21"/>
                <w:highlight w:val="none"/>
              </w:rPr>
              <w:t>1.5%</w:t>
            </w:r>
          </w:p>
        </w:tc>
        <w:tc>
          <w:tcPr>
            <w:tcW w:w="1682"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1.5%</w:t>
            </w:r>
          </w:p>
        </w:tc>
        <w:tc>
          <w:tcPr>
            <w:tcW w:w="2186"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100～500万元</w:t>
            </w:r>
          </w:p>
        </w:tc>
        <w:tc>
          <w:tcPr>
            <w:tcW w:w="1755"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1.1%</w:t>
            </w:r>
          </w:p>
        </w:tc>
        <w:tc>
          <w:tcPr>
            <w:tcW w:w="1682"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0.8%</w:t>
            </w:r>
          </w:p>
        </w:tc>
        <w:tc>
          <w:tcPr>
            <w:tcW w:w="2186"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500～1000万元</w:t>
            </w:r>
          </w:p>
        </w:tc>
        <w:tc>
          <w:tcPr>
            <w:tcW w:w="1755" w:type="dxa"/>
          </w:tcPr>
          <w:p>
            <w:pPr>
              <w:jc w:val="center"/>
              <w:rPr>
                <w:rFonts w:ascii="宋体" w:hAnsi="宋体" w:cs="宋体"/>
                <w:color w:val="000000"/>
                <w:szCs w:val="21"/>
                <w:highlight w:val="none"/>
              </w:rPr>
            </w:pPr>
            <w:r>
              <w:rPr>
                <w:rFonts w:hint="eastAsia" w:ascii="宋体" w:hAnsi="宋体" w:cs="宋体"/>
                <w:color w:val="000000"/>
                <w:kern w:val="0"/>
                <w:szCs w:val="21"/>
                <w:highlight w:val="none"/>
              </w:rPr>
              <w:t>0.8%</w:t>
            </w:r>
          </w:p>
        </w:tc>
        <w:tc>
          <w:tcPr>
            <w:tcW w:w="1682"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0.45%</w:t>
            </w:r>
          </w:p>
        </w:tc>
        <w:tc>
          <w:tcPr>
            <w:tcW w:w="2186"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1000～5000万元</w:t>
            </w:r>
          </w:p>
        </w:tc>
        <w:tc>
          <w:tcPr>
            <w:tcW w:w="1755"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0.5%</w:t>
            </w:r>
          </w:p>
        </w:tc>
        <w:tc>
          <w:tcPr>
            <w:tcW w:w="1682"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0.25%</w:t>
            </w:r>
          </w:p>
        </w:tc>
        <w:tc>
          <w:tcPr>
            <w:tcW w:w="2186"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5000万元～1亿元</w:t>
            </w:r>
          </w:p>
        </w:tc>
        <w:tc>
          <w:tcPr>
            <w:tcW w:w="1755"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0.25%</w:t>
            </w:r>
          </w:p>
        </w:tc>
        <w:tc>
          <w:tcPr>
            <w:tcW w:w="1682"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0.1%</w:t>
            </w:r>
          </w:p>
        </w:tc>
        <w:tc>
          <w:tcPr>
            <w:tcW w:w="2186" w:type="dxa"/>
          </w:tcPr>
          <w:p>
            <w:pPr>
              <w:ind w:firstLine="210" w:firstLineChars="100"/>
              <w:jc w:val="center"/>
              <w:rPr>
                <w:rFonts w:ascii="宋体" w:hAnsi="宋体" w:cs="宋体"/>
                <w:color w:val="000000"/>
                <w:szCs w:val="21"/>
                <w:highlight w:val="none"/>
              </w:rPr>
            </w:pPr>
            <w:r>
              <w:rPr>
                <w:rFonts w:hint="eastAsia" w:ascii="宋体" w:hAnsi="宋体" w:cs="宋体"/>
                <w:color w:val="000000"/>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1～5亿元</w:t>
            </w:r>
          </w:p>
        </w:tc>
        <w:tc>
          <w:tcPr>
            <w:tcW w:w="1755" w:type="dxa"/>
          </w:tcPr>
          <w:p>
            <w:pPr>
              <w:ind w:firstLine="210" w:firstLineChars="100"/>
              <w:jc w:val="center"/>
              <w:rPr>
                <w:rFonts w:ascii="宋体" w:hAnsi="宋体" w:cs="宋体"/>
                <w:color w:val="000000"/>
                <w:szCs w:val="21"/>
                <w:highlight w:val="none"/>
              </w:rPr>
            </w:pPr>
            <w:r>
              <w:rPr>
                <w:rFonts w:hint="eastAsia" w:ascii="宋体" w:hAnsi="宋体" w:cs="宋体"/>
                <w:color w:val="000000"/>
                <w:szCs w:val="21"/>
                <w:highlight w:val="none"/>
              </w:rPr>
              <w:t>0.05%</w:t>
            </w:r>
          </w:p>
        </w:tc>
        <w:tc>
          <w:tcPr>
            <w:tcW w:w="1682" w:type="dxa"/>
          </w:tcPr>
          <w:p>
            <w:pPr>
              <w:jc w:val="center"/>
              <w:rPr>
                <w:rFonts w:ascii="宋体" w:hAnsi="宋体" w:cs="宋体"/>
                <w:color w:val="000000"/>
                <w:szCs w:val="21"/>
                <w:highlight w:val="none"/>
              </w:rPr>
            </w:pPr>
            <w:r>
              <w:rPr>
                <w:rFonts w:hint="eastAsia" w:ascii="宋体" w:hAnsi="宋体" w:cs="宋体"/>
                <w:color w:val="000000"/>
                <w:szCs w:val="21"/>
                <w:highlight w:val="none"/>
              </w:rPr>
              <w:t>0.05%</w:t>
            </w:r>
          </w:p>
        </w:tc>
        <w:tc>
          <w:tcPr>
            <w:tcW w:w="2186" w:type="dxa"/>
          </w:tcPr>
          <w:p>
            <w:pPr>
              <w:jc w:val="center"/>
              <w:rPr>
                <w:rFonts w:ascii="宋体" w:hAnsi="宋体" w:cs="宋体"/>
                <w:color w:val="000000"/>
                <w:szCs w:val="21"/>
                <w:highlight w:val="none"/>
              </w:rPr>
            </w:pPr>
            <w:r>
              <w:rPr>
                <w:rFonts w:hint="eastAsia" w:ascii="宋体" w:hAnsi="宋体" w:cs="宋体"/>
                <w:color w:val="000000"/>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5～10亿元</w:t>
            </w:r>
          </w:p>
        </w:tc>
        <w:tc>
          <w:tcPr>
            <w:tcW w:w="1755" w:type="dxa"/>
          </w:tcPr>
          <w:p>
            <w:pPr>
              <w:ind w:firstLine="105" w:firstLineChars="50"/>
              <w:jc w:val="center"/>
              <w:rPr>
                <w:rFonts w:ascii="宋体" w:hAnsi="宋体" w:cs="宋体"/>
                <w:color w:val="000000"/>
                <w:szCs w:val="21"/>
                <w:highlight w:val="none"/>
              </w:rPr>
            </w:pPr>
            <w:r>
              <w:rPr>
                <w:rFonts w:hint="eastAsia" w:ascii="宋体" w:hAnsi="宋体" w:cs="宋体"/>
                <w:color w:val="000000"/>
                <w:szCs w:val="21"/>
                <w:highlight w:val="none"/>
              </w:rPr>
              <w:t>0.035%</w:t>
            </w:r>
          </w:p>
        </w:tc>
        <w:tc>
          <w:tcPr>
            <w:tcW w:w="1682" w:type="dxa"/>
          </w:tcPr>
          <w:p>
            <w:pPr>
              <w:jc w:val="center"/>
              <w:rPr>
                <w:rFonts w:ascii="宋体" w:hAnsi="宋体" w:cs="宋体"/>
                <w:color w:val="000000"/>
                <w:szCs w:val="21"/>
                <w:highlight w:val="none"/>
              </w:rPr>
            </w:pPr>
            <w:r>
              <w:rPr>
                <w:rFonts w:hint="eastAsia" w:ascii="宋体" w:hAnsi="宋体" w:cs="宋体"/>
                <w:color w:val="000000"/>
                <w:szCs w:val="21"/>
                <w:highlight w:val="none"/>
              </w:rPr>
              <w:t>0.035%</w:t>
            </w:r>
          </w:p>
        </w:tc>
        <w:tc>
          <w:tcPr>
            <w:tcW w:w="2186" w:type="dxa"/>
          </w:tcPr>
          <w:p>
            <w:pPr>
              <w:ind w:firstLine="105" w:firstLineChars="50"/>
              <w:jc w:val="center"/>
              <w:rPr>
                <w:rFonts w:ascii="宋体" w:hAnsi="宋体" w:cs="宋体"/>
                <w:color w:val="000000"/>
                <w:szCs w:val="21"/>
                <w:highlight w:val="none"/>
              </w:rPr>
            </w:pPr>
            <w:r>
              <w:rPr>
                <w:rFonts w:hint="eastAsia" w:ascii="宋体" w:hAnsi="宋体" w:cs="宋体"/>
                <w:color w:val="000000"/>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10～50亿元</w:t>
            </w:r>
          </w:p>
        </w:tc>
        <w:tc>
          <w:tcPr>
            <w:tcW w:w="1755" w:type="dxa"/>
          </w:tcPr>
          <w:p>
            <w:pPr>
              <w:ind w:firstLine="105" w:firstLineChars="50"/>
              <w:jc w:val="center"/>
              <w:rPr>
                <w:rFonts w:ascii="宋体" w:hAnsi="宋体" w:cs="宋体"/>
                <w:color w:val="000000"/>
                <w:szCs w:val="21"/>
                <w:highlight w:val="none"/>
              </w:rPr>
            </w:pPr>
            <w:r>
              <w:rPr>
                <w:rFonts w:hint="eastAsia" w:ascii="宋体" w:hAnsi="宋体" w:cs="宋体"/>
                <w:color w:val="000000"/>
                <w:szCs w:val="21"/>
                <w:highlight w:val="none"/>
              </w:rPr>
              <w:t>0.008%</w:t>
            </w:r>
          </w:p>
        </w:tc>
        <w:tc>
          <w:tcPr>
            <w:tcW w:w="1682" w:type="dxa"/>
          </w:tcPr>
          <w:p>
            <w:pPr>
              <w:ind w:firstLine="210" w:firstLineChars="100"/>
              <w:jc w:val="center"/>
              <w:rPr>
                <w:rFonts w:ascii="宋体" w:hAnsi="宋体" w:cs="宋体"/>
                <w:color w:val="000000"/>
                <w:szCs w:val="21"/>
                <w:highlight w:val="none"/>
              </w:rPr>
            </w:pPr>
            <w:r>
              <w:rPr>
                <w:rFonts w:hint="eastAsia" w:ascii="宋体" w:hAnsi="宋体" w:cs="宋体"/>
                <w:color w:val="000000"/>
                <w:szCs w:val="21"/>
                <w:highlight w:val="none"/>
              </w:rPr>
              <w:t>0.008%</w:t>
            </w:r>
          </w:p>
        </w:tc>
        <w:tc>
          <w:tcPr>
            <w:tcW w:w="2186" w:type="dxa"/>
          </w:tcPr>
          <w:p>
            <w:pPr>
              <w:ind w:firstLine="105" w:firstLineChars="50"/>
              <w:jc w:val="center"/>
              <w:rPr>
                <w:rFonts w:ascii="宋体" w:hAnsi="宋体" w:cs="宋体"/>
                <w:color w:val="000000"/>
                <w:szCs w:val="21"/>
                <w:highlight w:val="none"/>
              </w:rPr>
            </w:pPr>
            <w:r>
              <w:rPr>
                <w:rFonts w:hint="eastAsia" w:ascii="宋体" w:hAnsi="宋体" w:cs="宋体"/>
                <w:color w:val="000000"/>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50～100亿元</w:t>
            </w:r>
          </w:p>
        </w:tc>
        <w:tc>
          <w:tcPr>
            <w:tcW w:w="1755" w:type="dxa"/>
          </w:tcPr>
          <w:p>
            <w:pPr>
              <w:jc w:val="center"/>
              <w:rPr>
                <w:rFonts w:ascii="宋体" w:hAnsi="宋体" w:cs="宋体"/>
                <w:color w:val="000000"/>
                <w:szCs w:val="21"/>
                <w:highlight w:val="none"/>
              </w:rPr>
            </w:pPr>
            <w:r>
              <w:rPr>
                <w:rFonts w:hint="eastAsia" w:ascii="宋体" w:hAnsi="宋体" w:cs="宋体"/>
                <w:color w:val="000000"/>
                <w:szCs w:val="21"/>
                <w:highlight w:val="none"/>
              </w:rPr>
              <w:t>0.006%</w:t>
            </w:r>
          </w:p>
        </w:tc>
        <w:tc>
          <w:tcPr>
            <w:tcW w:w="1682" w:type="dxa"/>
          </w:tcPr>
          <w:p>
            <w:pPr>
              <w:ind w:firstLine="210" w:firstLineChars="100"/>
              <w:jc w:val="center"/>
              <w:rPr>
                <w:rFonts w:ascii="宋体" w:hAnsi="宋体" w:cs="宋体"/>
                <w:color w:val="000000"/>
                <w:szCs w:val="21"/>
                <w:highlight w:val="none"/>
              </w:rPr>
            </w:pPr>
            <w:r>
              <w:rPr>
                <w:rFonts w:hint="eastAsia" w:ascii="宋体" w:hAnsi="宋体" w:cs="宋体"/>
                <w:color w:val="000000"/>
                <w:szCs w:val="21"/>
                <w:highlight w:val="none"/>
              </w:rPr>
              <w:t>0.006%</w:t>
            </w:r>
          </w:p>
        </w:tc>
        <w:tc>
          <w:tcPr>
            <w:tcW w:w="2186" w:type="dxa"/>
          </w:tcPr>
          <w:p>
            <w:pPr>
              <w:ind w:firstLine="105" w:firstLineChars="50"/>
              <w:jc w:val="center"/>
              <w:rPr>
                <w:rFonts w:ascii="宋体" w:hAnsi="宋体" w:cs="宋体"/>
                <w:color w:val="000000"/>
                <w:szCs w:val="21"/>
                <w:highlight w:val="none"/>
              </w:rPr>
            </w:pPr>
            <w:r>
              <w:rPr>
                <w:rFonts w:hint="eastAsia" w:ascii="宋体" w:hAnsi="宋体" w:cs="宋体"/>
                <w:color w:val="000000"/>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000000"/>
                <w:szCs w:val="21"/>
                <w:highlight w:val="none"/>
              </w:rPr>
            </w:pPr>
            <w:r>
              <w:rPr>
                <w:rFonts w:hint="eastAsia" w:ascii="宋体" w:hAnsi="宋体" w:cs="宋体"/>
                <w:color w:val="000000"/>
                <w:szCs w:val="21"/>
                <w:highlight w:val="none"/>
              </w:rPr>
              <w:t>100亿以上</w:t>
            </w:r>
          </w:p>
        </w:tc>
        <w:tc>
          <w:tcPr>
            <w:tcW w:w="1755" w:type="dxa"/>
          </w:tcPr>
          <w:p>
            <w:pPr>
              <w:jc w:val="center"/>
              <w:rPr>
                <w:rFonts w:ascii="宋体" w:hAnsi="宋体" w:cs="宋体"/>
                <w:color w:val="000000"/>
                <w:szCs w:val="21"/>
                <w:highlight w:val="none"/>
              </w:rPr>
            </w:pPr>
            <w:r>
              <w:rPr>
                <w:rFonts w:hint="eastAsia" w:ascii="宋体" w:hAnsi="宋体" w:cs="宋体"/>
                <w:color w:val="000000"/>
                <w:szCs w:val="21"/>
                <w:highlight w:val="none"/>
              </w:rPr>
              <w:t>0.004%</w:t>
            </w:r>
          </w:p>
        </w:tc>
        <w:tc>
          <w:tcPr>
            <w:tcW w:w="1682" w:type="dxa"/>
          </w:tcPr>
          <w:p>
            <w:pPr>
              <w:ind w:firstLine="210" w:firstLineChars="100"/>
              <w:jc w:val="center"/>
              <w:rPr>
                <w:rFonts w:ascii="宋体" w:hAnsi="宋体" w:cs="宋体"/>
                <w:color w:val="000000"/>
                <w:szCs w:val="21"/>
                <w:highlight w:val="none"/>
              </w:rPr>
            </w:pPr>
            <w:r>
              <w:rPr>
                <w:rFonts w:hint="eastAsia" w:ascii="宋体" w:hAnsi="宋体" w:cs="宋体"/>
                <w:color w:val="000000"/>
                <w:szCs w:val="21"/>
                <w:highlight w:val="none"/>
              </w:rPr>
              <w:t>0.004%</w:t>
            </w:r>
          </w:p>
        </w:tc>
        <w:tc>
          <w:tcPr>
            <w:tcW w:w="2186" w:type="dxa"/>
          </w:tcPr>
          <w:p>
            <w:pPr>
              <w:ind w:firstLine="105" w:firstLineChars="50"/>
              <w:jc w:val="center"/>
              <w:rPr>
                <w:rFonts w:ascii="宋体" w:hAnsi="宋体" w:cs="宋体"/>
                <w:color w:val="000000"/>
                <w:szCs w:val="21"/>
                <w:highlight w:val="none"/>
              </w:rPr>
            </w:pPr>
            <w:r>
              <w:rPr>
                <w:rFonts w:hint="eastAsia" w:ascii="宋体" w:hAnsi="宋体" w:cs="宋体"/>
                <w:color w:val="000000"/>
                <w:szCs w:val="21"/>
                <w:highlight w:val="none"/>
              </w:rPr>
              <w:t>0.004%</w:t>
            </w:r>
          </w:p>
        </w:tc>
      </w:tr>
    </w:tbl>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27.5、成交通知书</w:t>
      </w:r>
      <w:bookmarkEnd w:id="67"/>
      <w:bookmarkEnd w:id="68"/>
      <w:bookmarkEnd w:id="69"/>
    </w:p>
    <w:p>
      <w:pPr>
        <w:pStyle w:val="21"/>
        <w:widowControl w:val="0"/>
        <w:spacing w:before="0" w:beforeAutospacing="0" w:after="0" w:afterAutospacing="0" w:line="360" w:lineRule="auto"/>
        <w:ind w:firstLine="420" w:firstLineChars="200"/>
        <w:rPr>
          <w:rFonts w:ascii="宋体" w:hAnsi="宋体" w:eastAsia="宋体" w:cs="Times New Roman"/>
          <w:kern w:val="2"/>
          <w:sz w:val="21"/>
          <w:szCs w:val="21"/>
          <w:highlight w:val="none"/>
        </w:rPr>
      </w:pPr>
      <w:r>
        <w:rPr>
          <w:rFonts w:hint="eastAsia" w:ascii="宋体" w:hAnsi="宋体" w:eastAsia="宋体" w:cs="宋体"/>
          <w:kern w:val="2"/>
          <w:sz w:val="21"/>
          <w:szCs w:val="20"/>
          <w:highlight w:val="none"/>
        </w:rPr>
        <w:t>采购人在评审报告推荐的成交候选人中按顺序确定成交人。采购人将向成交人发出成交通</w:t>
      </w:r>
      <w:r>
        <w:rPr>
          <w:rFonts w:hint="eastAsia" w:ascii="宋体" w:hAnsi="宋体" w:eastAsia="宋体" w:cs="Times New Roman"/>
          <w:kern w:val="2"/>
          <w:sz w:val="21"/>
          <w:szCs w:val="21"/>
          <w:highlight w:val="none"/>
        </w:rPr>
        <w:t>知书，同时在</w:t>
      </w:r>
      <w:r>
        <w:rPr>
          <w:rFonts w:hint="eastAsia" w:ascii="宋体" w:hAnsi="宋体"/>
          <w:b/>
          <w:bCs/>
          <w:sz w:val="21"/>
          <w:szCs w:val="21"/>
          <w:highlight w:val="none"/>
        </w:rPr>
        <w:t>均通过安庆市皖宜咨询管理有限公司（http://www.wyxmzx.com/）和安庆经济技术开发区（http://aqdz.anqing.gov.cn/xwzx/tzgg/index.html）</w:t>
      </w:r>
      <w:r>
        <w:rPr>
          <w:rFonts w:hint="eastAsia" w:ascii="宋体" w:hAnsi="宋体"/>
          <w:b/>
          <w:bCs/>
          <w:sz w:val="21"/>
          <w:szCs w:val="21"/>
          <w:highlight w:val="none"/>
          <w:lang w:eastAsia="zh-CN"/>
        </w:rPr>
        <w:t>、安庆皖江高科技投资发展有限公司（http://www.wanjianggaoke.com）</w:t>
      </w:r>
      <w:r>
        <w:rPr>
          <w:rFonts w:hint="eastAsia" w:ascii="宋体" w:hAnsi="宋体" w:eastAsia="宋体" w:cs="Times New Roman"/>
          <w:kern w:val="2"/>
          <w:sz w:val="21"/>
          <w:szCs w:val="21"/>
          <w:highlight w:val="none"/>
        </w:rPr>
        <w:t>公告成交结果。供应商如有质疑、投诉，必须在成交公告约定的质疑、投诉期内以书面形式向有关机构提出。</w:t>
      </w:r>
    </w:p>
    <w:p>
      <w:pPr>
        <w:widowControl/>
        <w:spacing w:line="360" w:lineRule="auto"/>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000000"/>
          <w:szCs w:val="21"/>
          <w:highlight w:val="none"/>
        </w:rPr>
      </w:pPr>
      <w:bookmarkStart w:id="70" w:name="_Toc417655920"/>
      <w:bookmarkStart w:id="71" w:name="_Toc418517857"/>
      <w:bookmarkStart w:id="72" w:name="_Toc2342"/>
      <w:r>
        <w:rPr>
          <w:rFonts w:hint="eastAsia" w:ascii="宋体" w:hAnsi="宋体" w:cs="宋体"/>
          <w:b/>
          <w:bCs/>
          <w:color w:val="000000"/>
          <w:szCs w:val="20"/>
          <w:highlight w:val="none"/>
        </w:rPr>
        <w:t xml:space="preserve">   </w:t>
      </w:r>
      <w:r>
        <w:rPr>
          <w:rFonts w:hint="eastAsia" w:ascii="宋体" w:hAnsi="宋体" w:cs="宋体"/>
          <w:color w:val="000000"/>
          <w:szCs w:val="21"/>
          <w:highlight w:val="none"/>
        </w:rPr>
        <w:t xml:space="preserve"> 27.</w:t>
      </w:r>
      <w:bookmarkEnd w:id="70"/>
      <w:bookmarkEnd w:id="71"/>
      <w:bookmarkEnd w:id="72"/>
      <w:r>
        <w:rPr>
          <w:rFonts w:hint="eastAsia" w:ascii="宋体" w:hAnsi="宋体" w:cs="宋体"/>
          <w:color w:val="000000"/>
          <w:szCs w:val="21"/>
          <w:highlight w:val="none"/>
        </w:rPr>
        <w:t>7、根据相关规定，对成交或成交结果提出质疑的，为成交或成交结果公告期限届满之日起七个工作日内向采购人提出。</w:t>
      </w:r>
    </w:p>
    <w:p>
      <w:pPr>
        <w:widowControl/>
        <w:spacing w:line="500" w:lineRule="exact"/>
        <w:jc w:val="left"/>
        <w:outlineLvl w:val="2"/>
        <w:rPr>
          <w:rFonts w:ascii="宋体" w:hAnsi="宋体" w:cs="宋体"/>
          <w:b/>
          <w:bCs/>
          <w:color w:val="000000"/>
          <w:szCs w:val="21"/>
          <w:highlight w:val="none"/>
        </w:rPr>
      </w:pPr>
      <w:bookmarkStart w:id="73" w:name="_Toc23509"/>
      <w:r>
        <w:rPr>
          <w:rFonts w:hint="eastAsia" w:ascii="宋体" w:hAnsi="宋体" w:cs="宋体"/>
          <w:b/>
          <w:bCs/>
          <w:color w:val="000000"/>
          <w:szCs w:val="21"/>
          <w:highlight w:val="none"/>
        </w:rPr>
        <w:t xml:space="preserve">    </w:t>
      </w:r>
      <w:bookmarkStart w:id="74" w:name="_Toc54939197"/>
      <w:r>
        <w:rPr>
          <w:rFonts w:hint="eastAsia" w:ascii="宋体" w:hAnsi="宋体" w:cs="宋体"/>
          <w:b/>
          <w:bCs/>
          <w:color w:val="000000"/>
          <w:szCs w:val="21"/>
          <w:highlight w:val="none"/>
        </w:rPr>
        <w:t>七、合同授予</w:t>
      </w:r>
      <w:bookmarkEnd w:id="73"/>
      <w:bookmarkEnd w:id="74"/>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28、</w:t>
      </w:r>
      <w:bookmarkStart w:id="75" w:name="_Toc418517860"/>
      <w:bookmarkStart w:id="76" w:name="_Toc417655923"/>
      <w:bookmarkStart w:id="77" w:name="_Toc21358"/>
      <w:r>
        <w:rPr>
          <w:rFonts w:hint="eastAsia" w:ascii="宋体" w:hAnsi="宋体" w:cs="宋体"/>
          <w:color w:val="000000"/>
          <w:szCs w:val="21"/>
          <w:highlight w:val="none"/>
        </w:rPr>
        <w:t>签订合同</w:t>
      </w:r>
      <w:bookmarkEnd w:id="75"/>
      <w:bookmarkEnd w:id="76"/>
      <w:bookmarkEnd w:id="77"/>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28.1、成交人的成交价即为合同价款。</w:t>
      </w:r>
    </w:p>
    <w:p>
      <w:pPr>
        <w:widowControl/>
        <w:spacing w:line="500" w:lineRule="exact"/>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 xml:space="preserve">    28.2、采购人在成交通知书发放之日起7个工作日内，与供应商签订合同</w:t>
      </w:r>
      <w:r>
        <w:rPr>
          <w:rFonts w:hint="eastAsia" w:ascii="宋体" w:hAnsi="宋体" w:cs="宋体"/>
          <w:color w:val="000000"/>
          <w:szCs w:val="21"/>
          <w:highlight w:val="none"/>
          <w:lang w:eastAsia="zh-CN"/>
        </w:rPr>
        <w:t>。</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color w:val="000000"/>
          <w:szCs w:val="21"/>
          <w:highlight w:val="none"/>
        </w:rPr>
      </w:pPr>
      <w:r>
        <w:rPr>
          <w:rFonts w:hint="eastAsia" w:ascii="宋体" w:hAnsi="宋体" w:cs="宋体"/>
          <w:b/>
          <w:bCs/>
          <w:color w:val="000000"/>
          <w:szCs w:val="21"/>
          <w:highlight w:val="none"/>
        </w:rPr>
        <w:t xml:space="preserve">    29、履约保证金</w:t>
      </w:r>
      <w:r>
        <w:rPr>
          <w:rFonts w:hint="eastAsia" w:ascii="宋体" w:hAnsi="宋体" w:cs="宋体"/>
          <w:b/>
          <w:bCs/>
          <w:color w:val="000000"/>
          <w:szCs w:val="21"/>
          <w:highlight w:val="none"/>
          <w:lang w:eastAsia="zh-CN"/>
        </w:rPr>
        <w:t>（</w:t>
      </w:r>
      <w:r>
        <w:rPr>
          <w:rFonts w:hint="eastAsia" w:ascii="宋体" w:hAnsi="宋体" w:cs="宋体"/>
          <w:b w:val="0"/>
          <w:bCs w:val="0"/>
          <w:color w:val="auto"/>
          <w:szCs w:val="21"/>
          <w:highlight w:val="none"/>
          <w:lang w:val="en-US" w:eastAsia="zh-CN"/>
        </w:rPr>
        <w:t>本项目不收取履约保证金）</w:t>
      </w:r>
    </w:p>
    <w:p>
      <w:pPr>
        <w:widowControl/>
        <w:spacing w:line="500" w:lineRule="exact"/>
        <w:ind w:firstLine="420"/>
        <w:jc w:val="left"/>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30</w:t>
      </w:r>
      <w:r>
        <w:rPr>
          <w:rFonts w:hint="eastAsia" w:ascii="宋体" w:hAnsi="宋体" w:cs="宋体"/>
          <w:b/>
          <w:bCs/>
          <w:color w:val="000000"/>
          <w:szCs w:val="21"/>
          <w:highlight w:val="none"/>
        </w:rPr>
        <w:t>、未尽事宜</w:t>
      </w:r>
    </w:p>
    <w:p>
      <w:pPr>
        <w:widowControl/>
        <w:spacing w:line="500" w:lineRule="exact"/>
        <w:ind w:firstLine="420"/>
        <w:jc w:val="left"/>
        <w:rPr>
          <w:rFonts w:ascii="宋体" w:hAnsi="宋体" w:cs="宋体"/>
          <w:color w:val="000000"/>
          <w:szCs w:val="21"/>
          <w:highlight w:val="none"/>
        </w:rPr>
      </w:pPr>
      <w:r>
        <w:rPr>
          <w:rFonts w:hint="eastAsia" w:ascii="宋体" w:hAnsi="宋体" w:cs="宋体"/>
          <w:color w:val="000000"/>
          <w:szCs w:val="21"/>
          <w:highlight w:val="none"/>
          <w:lang w:val="en-US" w:eastAsia="zh-CN"/>
        </w:rPr>
        <w:t>参照</w:t>
      </w:r>
      <w:r>
        <w:rPr>
          <w:rFonts w:hint="eastAsia" w:ascii="宋体" w:hAnsi="宋体" w:cs="宋体"/>
          <w:color w:val="000000"/>
          <w:szCs w:val="21"/>
          <w:highlight w:val="none"/>
        </w:rPr>
        <w:t>《中华人民共和国政府采购法》、《中华人民共和国政府采购法实施条例》及其他有关法律法规规定执行。</w:t>
      </w:r>
    </w:p>
    <w:p>
      <w:pPr>
        <w:widowControl/>
        <w:jc w:val="left"/>
        <w:rPr>
          <w:rFonts w:ascii="宋体" w:hAnsi="宋体" w:cs="宋体"/>
          <w:color w:val="000000"/>
          <w:szCs w:val="21"/>
          <w:highlight w:val="none"/>
        </w:rPr>
      </w:pPr>
      <w:r>
        <w:rPr>
          <w:rFonts w:ascii="宋体" w:hAnsi="宋体" w:cs="宋体"/>
          <w:color w:val="000000"/>
          <w:szCs w:val="21"/>
          <w:highlight w:val="none"/>
        </w:rPr>
        <w:br w:type="page"/>
      </w:r>
    </w:p>
    <w:p>
      <w:pPr>
        <w:pStyle w:val="3"/>
        <w:rPr>
          <w:rFonts w:hint="eastAsia" w:asciiTheme="minorEastAsia" w:hAnsiTheme="minorEastAsia" w:eastAsiaTheme="minorEastAsia" w:cstheme="minorEastAsia"/>
          <w:b/>
          <w:bCs/>
          <w:color w:val="000000"/>
          <w:szCs w:val="21"/>
          <w:highlight w:val="none"/>
        </w:rPr>
      </w:pPr>
      <w:bookmarkStart w:id="78" w:name="_Toc23889"/>
      <w:bookmarkStart w:id="79" w:name="_Toc18076"/>
      <w:bookmarkStart w:id="80" w:name="_Toc54939198"/>
      <w:r>
        <w:rPr>
          <w:rFonts w:hint="eastAsia" w:ascii="宋体" w:hAnsi="宋体" w:cs="宋体"/>
          <w:color w:val="000000"/>
          <w:highlight w:val="none"/>
        </w:rPr>
        <w:t>第三章 服务需求及技术要求</w:t>
      </w:r>
      <w:bookmarkEnd w:id="78"/>
      <w:bookmarkEnd w:id="79"/>
      <w:bookmarkEnd w:id="80"/>
    </w:p>
    <w:p>
      <w:pPr>
        <w:rPr>
          <w:rFonts w:hint="eastAsia" w:ascii="宋体" w:hAnsi="宋体" w:eastAsia="宋体" w:cs="宋体"/>
          <w:bCs/>
          <w:color w:val="auto"/>
          <w:sz w:val="28"/>
          <w:szCs w:val="28"/>
          <w:highlight w:val="none"/>
        </w:rPr>
      </w:pPr>
      <w:bookmarkStart w:id="81" w:name="_Toc7241"/>
      <w:bookmarkStart w:id="82" w:name="_Toc54939199"/>
      <w:bookmarkStart w:id="83" w:name="_Toc23604"/>
      <w:r>
        <w:rPr>
          <w:rFonts w:hint="eastAsia" w:ascii="宋体" w:hAnsi="宋体"/>
          <w:color w:val="auto"/>
          <w:sz w:val="28"/>
          <w:szCs w:val="28"/>
          <w:highlight w:val="none"/>
        </w:rPr>
        <w:t xml:space="preserve"> </w:t>
      </w:r>
      <w:bookmarkStart w:id="84" w:name="bookmark47"/>
      <w:r>
        <w:rPr>
          <w:rFonts w:hint="eastAsia" w:ascii="宋体" w:hAnsi="宋体" w:eastAsia="宋体" w:cs="宋体"/>
          <w:bCs/>
          <w:color w:val="auto"/>
          <w:sz w:val="28"/>
          <w:szCs w:val="28"/>
          <w:highlight w:val="none"/>
        </w:rPr>
        <w:t>一、项目概述</w:t>
      </w:r>
    </w:p>
    <w:p>
      <w:pPr>
        <w:spacing w:line="500" w:lineRule="exact"/>
        <w:ind w:firstLine="560" w:firstLineChars="200"/>
        <w:jc w:val="left"/>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安庆火车站站前广场（甲方）4</w:t>
      </w:r>
      <w:r>
        <w:rPr>
          <w:rFonts w:hint="eastAsia" w:ascii="宋体" w:hAnsi="宋体" w:eastAsia="宋体" w:cs="宋体"/>
          <w:bCs/>
          <w:color w:val="auto"/>
          <w:sz w:val="28"/>
          <w:szCs w:val="28"/>
          <w:highlight w:val="none"/>
          <w:lang w:val="en-US" w:eastAsia="zh-CN"/>
        </w:rPr>
        <w:t>台</w:t>
      </w:r>
      <w:r>
        <w:rPr>
          <w:rFonts w:hint="eastAsia" w:ascii="宋体" w:hAnsi="宋体" w:cs="宋体"/>
          <w:color w:val="auto"/>
          <w:kern w:val="0"/>
          <w:sz w:val="28"/>
          <w:szCs w:val="28"/>
          <w:highlight w:val="none"/>
          <w:lang w:eastAsia="zh-CN"/>
        </w:rPr>
        <w:t>自动</w:t>
      </w:r>
      <w:r>
        <w:rPr>
          <w:rFonts w:hint="eastAsia" w:ascii="宋体" w:hAnsi="宋体" w:cs="宋体"/>
          <w:bCs/>
          <w:color w:val="auto"/>
          <w:sz w:val="28"/>
          <w:szCs w:val="28"/>
          <w:highlight w:val="none"/>
          <w:lang w:val="en-US" w:eastAsia="zh-CN"/>
        </w:rPr>
        <w:t>扶</w:t>
      </w:r>
      <w:r>
        <w:rPr>
          <w:rFonts w:hint="eastAsia" w:ascii="宋体" w:hAnsi="宋体" w:eastAsia="宋体" w:cs="宋体"/>
          <w:bCs/>
          <w:color w:val="auto"/>
          <w:sz w:val="28"/>
          <w:szCs w:val="28"/>
          <w:highlight w:val="none"/>
          <w:lang w:val="en-US" w:eastAsia="zh-CN"/>
        </w:rPr>
        <w:t>梯</w:t>
      </w:r>
      <w:r>
        <w:rPr>
          <w:rFonts w:hint="eastAsia" w:ascii="宋体" w:hAnsi="宋体" w:cs="宋体"/>
          <w:bCs/>
          <w:color w:val="auto"/>
          <w:sz w:val="28"/>
          <w:szCs w:val="28"/>
          <w:highlight w:val="none"/>
          <w:lang w:val="en-US" w:eastAsia="zh-CN"/>
        </w:rPr>
        <w:t>（恒达富士）大修。</w:t>
      </w:r>
    </w:p>
    <w:p>
      <w:pPr>
        <w:spacing w:line="560" w:lineRule="exact"/>
        <w:ind w:firstLine="560" w:firstLineChars="200"/>
        <w:jc w:val="left"/>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本次</w:t>
      </w:r>
      <w:r>
        <w:rPr>
          <w:rFonts w:hint="eastAsia" w:ascii="宋体" w:hAnsi="宋体" w:eastAsia="宋体" w:cs="宋体"/>
          <w:bCs/>
          <w:color w:val="auto"/>
          <w:sz w:val="28"/>
          <w:szCs w:val="28"/>
          <w:highlight w:val="none"/>
        </w:rPr>
        <w:t>报价</w:t>
      </w:r>
      <w:r>
        <w:rPr>
          <w:rFonts w:hint="eastAsia" w:ascii="宋体" w:hAnsi="宋体" w:cs="宋体"/>
          <w:bCs/>
          <w:color w:val="auto"/>
          <w:sz w:val="28"/>
          <w:szCs w:val="28"/>
          <w:highlight w:val="none"/>
          <w:lang w:eastAsia="zh-CN"/>
        </w:rPr>
        <w:t>费用包括材料费</w:t>
      </w:r>
      <w:r>
        <w:rPr>
          <w:rFonts w:hint="eastAsia" w:ascii="宋体" w:hAnsi="宋体" w:eastAsia="宋体" w:cs="宋体"/>
          <w:color w:val="auto"/>
          <w:sz w:val="28"/>
          <w:szCs w:val="28"/>
          <w:highlight w:val="none"/>
        </w:rPr>
        <w:t>、</w:t>
      </w:r>
      <w:r>
        <w:rPr>
          <w:rFonts w:hint="eastAsia" w:ascii="宋体" w:hAnsi="宋体" w:cs="宋体"/>
          <w:bCs/>
          <w:color w:val="auto"/>
          <w:sz w:val="28"/>
          <w:szCs w:val="28"/>
          <w:highlight w:val="none"/>
          <w:lang w:eastAsia="zh-CN"/>
        </w:rPr>
        <w:t>人工费</w:t>
      </w:r>
      <w:r>
        <w:rPr>
          <w:rFonts w:hint="eastAsia" w:ascii="宋体" w:hAnsi="宋体" w:eastAsia="宋体" w:cs="宋体"/>
          <w:color w:val="auto"/>
          <w:sz w:val="28"/>
          <w:szCs w:val="28"/>
          <w:highlight w:val="none"/>
        </w:rPr>
        <w:t>、</w:t>
      </w:r>
      <w:r>
        <w:rPr>
          <w:rFonts w:hint="eastAsia" w:ascii="宋体" w:hAnsi="宋体" w:cs="宋体"/>
          <w:bCs/>
          <w:color w:val="auto"/>
          <w:sz w:val="28"/>
          <w:szCs w:val="28"/>
          <w:highlight w:val="none"/>
          <w:lang w:eastAsia="zh-CN"/>
        </w:rPr>
        <w:t>辅料费</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运输费</w:t>
      </w:r>
      <w:r>
        <w:rPr>
          <w:rFonts w:hint="eastAsia" w:ascii="宋体" w:hAnsi="宋体" w:eastAsia="宋体" w:cs="宋体"/>
          <w:color w:val="auto"/>
          <w:sz w:val="28"/>
          <w:szCs w:val="28"/>
          <w:highlight w:val="none"/>
        </w:rPr>
        <w:t>、</w:t>
      </w:r>
      <w:r>
        <w:rPr>
          <w:rFonts w:hint="eastAsia" w:ascii="宋体" w:hAnsi="宋体" w:cs="宋体"/>
          <w:bCs/>
          <w:color w:val="auto"/>
          <w:sz w:val="28"/>
          <w:szCs w:val="28"/>
          <w:highlight w:val="none"/>
          <w:lang w:eastAsia="zh-CN"/>
        </w:rPr>
        <w:t>维修设备费及税收等</w:t>
      </w:r>
      <w:r>
        <w:rPr>
          <w:rFonts w:hint="eastAsia" w:ascii="宋体" w:hAnsi="宋体" w:cs="宋体"/>
          <w:bCs/>
          <w:color w:val="auto"/>
          <w:sz w:val="28"/>
          <w:szCs w:val="28"/>
          <w:highlight w:val="none"/>
          <w:lang w:val="en-US" w:eastAsia="zh-CN"/>
        </w:rPr>
        <w:t>所有费用</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lang w:val="en-US" w:eastAsia="zh-CN"/>
        </w:rPr>
        <w:t>投标人自行考虑所有成本在本次报价中，采购人后期不支付任何其他费用。</w:t>
      </w:r>
    </w:p>
    <w:p>
      <w:pPr>
        <w:spacing w:line="560" w:lineRule="exact"/>
        <w:ind w:firstLine="280" w:firstLineChars="100"/>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二</w:t>
      </w:r>
      <w:r>
        <w:rPr>
          <w:rFonts w:hint="eastAsia" w:ascii="宋体" w:hAnsi="宋体" w:eastAsia="宋体" w:cs="宋体"/>
          <w:bCs/>
          <w:color w:val="auto"/>
          <w:sz w:val="28"/>
          <w:szCs w:val="28"/>
          <w:highlight w:val="none"/>
        </w:rPr>
        <w:t>、服务内容</w:t>
      </w:r>
    </w:p>
    <w:p>
      <w:pPr>
        <w:spacing w:line="500" w:lineRule="exact"/>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电梯维修主要配件</w:t>
      </w:r>
      <w:r>
        <w:rPr>
          <w:rFonts w:hint="eastAsia" w:ascii="宋体" w:hAnsi="宋体" w:cs="宋体"/>
          <w:b/>
          <w:color w:val="auto"/>
          <w:sz w:val="28"/>
          <w:szCs w:val="28"/>
          <w:highlight w:val="none"/>
          <w:lang w:val="en-US" w:eastAsia="zh-CN"/>
        </w:rPr>
        <w:t>(全部换新）</w:t>
      </w:r>
    </w:p>
    <w:tbl>
      <w:tblPr>
        <w:tblStyle w:val="26"/>
        <w:tblW w:w="9645"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865"/>
        <w:gridCol w:w="900"/>
        <w:gridCol w:w="3486"/>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286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配</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件</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名</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称</w:t>
            </w:r>
          </w:p>
        </w:tc>
        <w:tc>
          <w:tcPr>
            <w:tcW w:w="900"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数量</w:t>
            </w:r>
          </w:p>
        </w:tc>
        <w:tc>
          <w:tcPr>
            <w:tcW w:w="3486"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型</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号</w:t>
            </w:r>
          </w:p>
        </w:tc>
        <w:tc>
          <w:tcPr>
            <w:tcW w:w="1584"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备</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室外公共交通梯级链</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4台</w:t>
            </w:r>
          </w:p>
        </w:tc>
        <w:tc>
          <w:tcPr>
            <w:tcW w:w="3486" w:type="dxa"/>
            <w:vAlign w:val="top"/>
          </w:tcPr>
          <w:p>
            <w:pPr>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TL1331  80滚轮</w:t>
            </w:r>
          </w:p>
        </w:tc>
        <w:tc>
          <w:tcPr>
            <w:tcW w:w="1584" w:type="dxa"/>
          </w:tcPr>
          <w:p>
            <w:pPr>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含卡销轴套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扶梯手扶带</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8根</w:t>
            </w:r>
          </w:p>
        </w:tc>
        <w:tc>
          <w:tcPr>
            <w:tcW w:w="3486" w:type="dxa"/>
            <w:vAlign w:val="top"/>
          </w:tcPr>
          <w:p>
            <w:pPr>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SDS  抗拉强度≥25KN</w:t>
            </w:r>
          </w:p>
        </w:tc>
        <w:tc>
          <w:tcPr>
            <w:tcW w:w="1584" w:type="dxa"/>
          </w:tcPr>
          <w:p>
            <w:pPr>
              <w:jc w:val="left"/>
              <w:rPr>
                <w:rFonts w:hint="eastAsia"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含扶手带入口开关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梯级</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41个</w:t>
            </w:r>
          </w:p>
        </w:tc>
        <w:tc>
          <w:tcPr>
            <w:tcW w:w="3486" w:type="dxa"/>
            <w:vAlign w:val="top"/>
          </w:tcPr>
          <w:p>
            <w:pPr>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JZ-1000</w:t>
            </w:r>
          </w:p>
        </w:tc>
        <w:tc>
          <w:tcPr>
            <w:tcW w:w="1584" w:type="dxa"/>
          </w:tcPr>
          <w:p>
            <w:pPr>
              <w:jc w:val="left"/>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1000MM铝合金室外梯级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梯级轮</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560个</w:t>
            </w:r>
          </w:p>
        </w:tc>
        <w:tc>
          <w:tcPr>
            <w:tcW w:w="3486" w:type="dxa"/>
            <w:vAlign w:val="top"/>
          </w:tcPr>
          <w:p>
            <w:pPr>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80X25(轴承6206-2RS）带防水盖</w:t>
            </w:r>
          </w:p>
        </w:tc>
        <w:tc>
          <w:tcPr>
            <w:tcW w:w="1584" w:type="dxa"/>
          </w:tcPr>
          <w:p>
            <w:pPr>
              <w:jc w:val="left"/>
              <w:rPr>
                <w:rFonts w:hint="eastAsia"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室外防水型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w:t>
            </w:r>
          </w:p>
        </w:tc>
        <w:tc>
          <w:tcPr>
            <w:tcW w:w="2865" w:type="dxa"/>
          </w:tcPr>
          <w:p>
            <w:pPr>
              <w:jc w:val="left"/>
              <w:rPr>
                <w:rFonts w:hint="eastAsia" w:ascii="宋体" w:hAnsi="宋体" w:eastAsia="宋体" w:cs="宋体"/>
                <w:color w:val="auto"/>
                <w:kern w:val="0"/>
                <w:sz w:val="28"/>
                <w:szCs w:val="28"/>
                <w:highlight w:val="none"/>
              </w:rPr>
            </w:pPr>
            <w:r>
              <w:rPr>
                <w:rFonts w:hint="eastAsia" w:ascii="宋体" w:hAnsi="宋体" w:eastAsia="宋体" w:cs="宋体"/>
                <w:b w:val="0"/>
                <w:bCs w:val="0"/>
                <w:sz w:val="28"/>
                <w:szCs w:val="28"/>
                <w:highlight w:val="none"/>
                <w:vertAlign w:val="baseline"/>
                <w:lang w:val="en-US" w:eastAsia="zh-CN"/>
              </w:rPr>
              <w:t>安全工控板</w:t>
            </w:r>
          </w:p>
        </w:tc>
        <w:tc>
          <w:tcPr>
            <w:tcW w:w="900" w:type="dxa"/>
            <w:vAlign w:val="top"/>
          </w:tcPr>
          <w:p>
            <w:pPr>
              <w:jc w:val="center"/>
              <w:rPr>
                <w:rFonts w:hint="default" w:ascii="宋体" w:hAnsi="宋体" w:eastAsia="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4台</w:t>
            </w:r>
          </w:p>
        </w:tc>
        <w:tc>
          <w:tcPr>
            <w:tcW w:w="3486" w:type="dxa"/>
            <w:vAlign w:val="top"/>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MCTC-PES-E1</w:t>
            </w:r>
          </w:p>
        </w:tc>
        <w:tc>
          <w:tcPr>
            <w:tcW w:w="1584" w:type="dxa"/>
          </w:tcPr>
          <w:p>
            <w:pPr>
              <w:jc w:val="left"/>
              <w:rPr>
                <w:rFonts w:hint="eastAsia" w:ascii="宋体" w:hAnsi="宋体" w:eastAsia="宋体" w:cs="宋体"/>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室外型回转链</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16条</w:t>
            </w:r>
          </w:p>
        </w:tc>
        <w:tc>
          <w:tcPr>
            <w:tcW w:w="3486" w:type="dxa"/>
            <w:vAlign w:val="top"/>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双叉21节</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涨紧轮组</w:t>
            </w:r>
          </w:p>
        </w:tc>
        <w:tc>
          <w:tcPr>
            <w:tcW w:w="900" w:type="dxa"/>
          </w:tcPr>
          <w:p>
            <w:pPr>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8条</w:t>
            </w:r>
          </w:p>
        </w:tc>
        <w:tc>
          <w:tcPr>
            <w:tcW w:w="3486" w:type="dxa"/>
          </w:tcPr>
          <w:p>
            <w:pPr>
              <w:jc w:val="left"/>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w:t>
            </w:r>
            <w:r>
              <w:rPr>
                <w:rFonts w:hint="eastAsia" w:ascii="宋体" w:hAnsi="宋体" w:eastAsia="宋体" w:cs="宋体"/>
                <w:b w:val="0"/>
                <w:bCs w:val="0"/>
                <w:sz w:val="28"/>
                <w:szCs w:val="28"/>
                <w:highlight w:val="none"/>
                <w:vertAlign w:val="baseline"/>
                <w:lang w:val="en-US" w:eastAsia="zh-CN"/>
              </w:rPr>
              <w:t>轮</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驱动测速传感器</w:t>
            </w:r>
          </w:p>
        </w:tc>
        <w:tc>
          <w:tcPr>
            <w:tcW w:w="900" w:type="dxa"/>
          </w:tcPr>
          <w:p>
            <w:pPr>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8个</w:t>
            </w:r>
          </w:p>
        </w:tc>
        <w:tc>
          <w:tcPr>
            <w:tcW w:w="3486" w:type="dxa"/>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MCTC-SL08NK6</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扶梯运行指示灯</w:t>
            </w:r>
          </w:p>
        </w:tc>
        <w:tc>
          <w:tcPr>
            <w:tcW w:w="900" w:type="dxa"/>
          </w:tcPr>
          <w:p>
            <w:pPr>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8个</w:t>
            </w:r>
          </w:p>
        </w:tc>
        <w:tc>
          <w:tcPr>
            <w:tcW w:w="3486" w:type="dxa"/>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HY03</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10</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室外扶梯钥匙盒</w:t>
            </w:r>
          </w:p>
        </w:tc>
        <w:tc>
          <w:tcPr>
            <w:tcW w:w="90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8个</w:t>
            </w:r>
          </w:p>
        </w:tc>
        <w:tc>
          <w:tcPr>
            <w:tcW w:w="3486" w:type="dxa"/>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MX10-1101/1</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1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11</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分体式摩擦轮</w:t>
            </w:r>
          </w:p>
        </w:tc>
        <w:tc>
          <w:tcPr>
            <w:tcW w:w="900" w:type="dxa"/>
          </w:tcPr>
          <w:p>
            <w:pPr>
              <w:jc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8个</w:t>
            </w:r>
          </w:p>
        </w:tc>
        <w:tc>
          <w:tcPr>
            <w:tcW w:w="3486" w:type="dxa"/>
          </w:tcPr>
          <w:p>
            <w:pPr>
              <w:jc w:val="left"/>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Φ587</w:t>
            </w:r>
          </w:p>
        </w:tc>
        <w:tc>
          <w:tcPr>
            <w:tcW w:w="1584" w:type="dxa"/>
          </w:tcPr>
          <w:p>
            <w:pPr>
              <w:jc w:val="left"/>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12</w:t>
            </w:r>
          </w:p>
        </w:tc>
        <w:tc>
          <w:tcPr>
            <w:tcW w:w="2865" w:type="dxa"/>
          </w:tcPr>
          <w:p>
            <w:pPr>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驱动链</w:t>
            </w:r>
          </w:p>
        </w:tc>
        <w:tc>
          <w:tcPr>
            <w:tcW w:w="900" w:type="dxa"/>
          </w:tcPr>
          <w:p>
            <w:pPr>
              <w:jc w:val="left"/>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4台</w:t>
            </w:r>
          </w:p>
        </w:tc>
        <w:tc>
          <w:tcPr>
            <w:tcW w:w="3486" w:type="dxa"/>
          </w:tcPr>
          <w:p>
            <w:pPr>
              <w:jc w:val="left"/>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24A双排链  抗拉强度≥173.5KN</w:t>
            </w:r>
          </w:p>
        </w:tc>
        <w:tc>
          <w:tcPr>
            <w:tcW w:w="1584" w:type="dxa"/>
          </w:tcPr>
          <w:p>
            <w:pPr>
              <w:jc w:val="left"/>
              <w:rPr>
                <w:rFonts w:hint="eastAsia" w:ascii="宋体" w:hAnsi="宋体" w:cs="宋体"/>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13</w:t>
            </w:r>
          </w:p>
        </w:tc>
        <w:tc>
          <w:tcPr>
            <w:tcW w:w="2865" w:type="dxa"/>
          </w:tcPr>
          <w:p>
            <w:pPr>
              <w:jc w:val="left"/>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前沿板拉杆</w:t>
            </w:r>
          </w:p>
        </w:tc>
        <w:tc>
          <w:tcPr>
            <w:tcW w:w="900"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16</w:t>
            </w:r>
            <w:r>
              <w:rPr>
                <w:rFonts w:hint="eastAsia" w:ascii="宋体" w:hAnsi="宋体" w:cs="宋体"/>
                <w:color w:val="auto"/>
                <w:kern w:val="0"/>
                <w:sz w:val="28"/>
                <w:szCs w:val="28"/>
                <w:highlight w:val="none"/>
                <w:lang w:eastAsia="zh-CN"/>
              </w:rPr>
              <w:t>个</w:t>
            </w:r>
          </w:p>
        </w:tc>
        <w:tc>
          <w:tcPr>
            <w:tcW w:w="3486" w:type="dxa"/>
          </w:tcPr>
          <w:p>
            <w:pPr>
              <w:jc w:val="left"/>
              <w:rPr>
                <w:rFonts w:hint="eastAsia" w:ascii="宋体" w:hAnsi="宋体" w:eastAsia="宋体" w:cs="宋体"/>
                <w:color w:val="auto"/>
                <w:kern w:val="0"/>
                <w:sz w:val="28"/>
                <w:szCs w:val="28"/>
                <w:highlight w:val="none"/>
              </w:rPr>
            </w:pPr>
          </w:p>
        </w:tc>
        <w:tc>
          <w:tcPr>
            <w:tcW w:w="1584" w:type="dxa"/>
          </w:tcPr>
          <w:p>
            <w:pPr>
              <w:jc w:val="left"/>
              <w:rPr>
                <w:rFonts w:hint="eastAsia" w:ascii="宋体" w:hAnsi="宋体" w:eastAsia="宋体" w:cs="宋体"/>
                <w:color w:val="auto"/>
                <w:kern w:val="0"/>
                <w:sz w:val="28"/>
                <w:szCs w:val="28"/>
                <w:highlight w:val="none"/>
              </w:rPr>
            </w:pPr>
          </w:p>
        </w:tc>
      </w:tr>
    </w:tbl>
    <w:p>
      <w:pPr>
        <w:spacing w:line="500" w:lineRule="exact"/>
        <w:jc w:val="left"/>
        <w:rPr>
          <w:rFonts w:hint="default" w:ascii="宋体" w:hAnsi="宋体" w:eastAsia="宋体" w:cs="宋体"/>
          <w:color w:val="auto"/>
          <w:kern w:val="0"/>
          <w:sz w:val="28"/>
          <w:szCs w:val="28"/>
          <w:highlight w:val="none"/>
          <w:lang w:val="en-US" w:eastAsia="zh-CN"/>
        </w:rPr>
      </w:pPr>
    </w:p>
    <w:bookmarkEnd w:id="84"/>
    <w:p>
      <w:pPr>
        <w:spacing w:line="500" w:lineRule="exact"/>
        <w:ind w:firstLine="562" w:firstLineChars="200"/>
        <w:jc w:val="left"/>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（二）</w:t>
      </w:r>
      <w:r>
        <w:rPr>
          <w:rFonts w:hint="eastAsia" w:ascii="宋体" w:hAnsi="宋体" w:eastAsia="宋体" w:cs="宋体"/>
          <w:b/>
          <w:color w:val="auto"/>
          <w:sz w:val="28"/>
          <w:szCs w:val="28"/>
          <w:highlight w:val="none"/>
        </w:rPr>
        <w:t>电梯</w:t>
      </w:r>
      <w:r>
        <w:rPr>
          <w:rFonts w:hint="eastAsia" w:ascii="宋体" w:hAnsi="宋体" w:cs="宋体"/>
          <w:b/>
          <w:color w:val="auto"/>
          <w:sz w:val="28"/>
          <w:szCs w:val="28"/>
          <w:highlight w:val="none"/>
          <w:lang w:eastAsia="zh-CN"/>
        </w:rPr>
        <w:t>大</w:t>
      </w:r>
      <w:r>
        <w:rPr>
          <w:rFonts w:hint="eastAsia" w:ascii="宋体" w:hAnsi="宋体" w:eastAsia="宋体" w:cs="宋体"/>
          <w:b/>
          <w:color w:val="auto"/>
          <w:sz w:val="28"/>
          <w:szCs w:val="28"/>
          <w:highlight w:val="none"/>
        </w:rPr>
        <w:t>修主要</w:t>
      </w:r>
      <w:r>
        <w:rPr>
          <w:rFonts w:hint="eastAsia" w:ascii="宋体" w:hAnsi="宋体" w:cs="宋体"/>
          <w:b/>
          <w:color w:val="auto"/>
          <w:sz w:val="28"/>
          <w:szCs w:val="28"/>
          <w:highlight w:val="none"/>
          <w:lang w:val="en-US" w:eastAsia="zh-CN"/>
        </w:rPr>
        <w:t>服务内容</w:t>
      </w:r>
    </w:p>
    <w:tbl>
      <w:tblPr>
        <w:tblStyle w:val="26"/>
        <w:tblW w:w="9270"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655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6555"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主</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要</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内</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lang w:eastAsia="zh-CN"/>
              </w:rPr>
              <w:t>容</w:t>
            </w:r>
          </w:p>
        </w:tc>
        <w:tc>
          <w:tcPr>
            <w:tcW w:w="1890"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6555" w:type="dxa"/>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驱动主机齿轮箱更换机油，主电机轴承加油或更换</w:t>
            </w:r>
          </w:p>
        </w:tc>
        <w:tc>
          <w:tcPr>
            <w:tcW w:w="189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换油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6555" w:type="dxa"/>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主驱动轴更换轴承并加油</w:t>
            </w:r>
          </w:p>
        </w:tc>
        <w:tc>
          <w:tcPr>
            <w:tcW w:w="189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更换主驱动链</w:t>
            </w:r>
          </w:p>
        </w:tc>
        <w:tc>
          <w:tcPr>
            <w:tcW w:w="189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主驱动链轮检查更换</w:t>
            </w:r>
          </w:p>
        </w:tc>
        <w:tc>
          <w:tcPr>
            <w:tcW w:w="1890"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梯级回转导轨清洁润滑检查或更换</w:t>
            </w:r>
          </w:p>
        </w:tc>
        <w:tc>
          <w:tcPr>
            <w:tcW w:w="1890" w:type="dxa"/>
          </w:tcPr>
          <w:p>
            <w:pPr>
              <w:jc w:val="center"/>
              <w:rPr>
                <w:rFonts w:hint="default" w:ascii="宋体" w:hAnsi="宋体" w:eastAsia="宋体" w:cs="宋体"/>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更换手扶带及扶手链（回转链）</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更换梯级大链</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w:t>
            </w:r>
          </w:p>
        </w:tc>
        <w:tc>
          <w:tcPr>
            <w:tcW w:w="6555" w:type="dxa"/>
            <w:vAlign w:val="top"/>
          </w:tcPr>
          <w:p>
            <w:pPr>
              <w:jc w:val="both"/>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扶梯梯级大链导轨清洁润滑检查或更换</w:t>
            </w:r>
          </w:p>
        </w:tc>
        <w:tc>
          <w:tcPr>
            <w:tcW w:w="1890" w:type="dxa"/>
          </w:tcPr>
          <w:p>
            <w:pPr>
              <w:jc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w:t>
            </w:r>
          </w:p>
        </w:tc>
        <w:tc>
          <w:tcPr>
            <w:tcW w:w="6555" w:type="dxa"/>
            <w:vAlign w:val="top"/>
          </w:tcPr>
          <w:p>
            <w:pPr>
              <w:jc w:val="both"/>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检查涨紧轮组并更换</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10</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扶梯梯级检查和更换</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损坏更换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11</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扶梯梯级轮检查或更换</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12</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扶梯梯级轮导轨清洁润滑检查或更换</w:t>
            </w:r>
          </w:p>
        </w:tc>
        <w:tc>
          <w:tcPr>
            <w:tcW w:w="1890" w:type="dxa"/>
          </w:tcPr>
          <w:p>
            <w:pPr>
              <w:jc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13</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手扶带被动轮检查更换</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14</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梳齿板检查更换</w:t>
            </w:r>
          </w:p>
        </w:tc>
        <w:tc>
          <w:tcPr>
            <w:tcW w:w="1890" w:type="dxa"/>
          </w:tcPr>
          <w:p>
            <w:pPr>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断齿更换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15</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自动喷油装置检查检修</w:t>
            </w:r>
          </w:p>
        </w:tc>
        <w:tc>
          <w:tcPr>
            <w:tcW w:w="1890" w:type="dxa"/>
          </w:tcPr>
          <w:p>
            <w:pPr>
              <w:jc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16</w:t>
            </w:r>
          </w:p>
        </w:tc>
        <w:tc>
          <w:tcPr>
            <w:tcW w:w="6555" w:type="dxa"/>
            <w:vAlign w:val="top"/>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电气控制柜检查清洁检修或更换电器配件</w:t>
            </w:r>
          </w:p>
        </w:tc>
        <w:tc>
          <w:tcPr>
            <w:tcW w:w="1890" w:type="dxa"/>
          </w:tcPr>
          <w:p>
            <w:pPr>
              <w:jc w:val="center"/>
              <w:rPr>
                <w:rFonts w:hint="eastAsia" w:ascii="宋体" w:hAnsi="宋体" w:eastAsia="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17</w:t>
            </w:r>
          </w:p>
        </w:tc>
        <w:tc>
          <w:tcPr>
            <w:tcW w:w="6555" w:type="dxa"/>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检查各安全保护装置并更换（测速，梯级防丢，下陷，梯链梳齿安全保护，防夹和入口保护等）</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损坏更换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18</w:t>
            </w:r>
          </w:p>
        </w:tc>
        <w:tc>
          <w:tcPr>
            <w:tcW w:w="6555" w:type="dxa"/>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检查并更换各光电开关，限位开关，急停按钮，钥匙开关，指示灯等</w:t>
            </w:r>
          </w:p>
        </w:tc>
        <w:tc>
          <w:tcPr>
            <w:tcW w:w="1890" w:type="dxa"/>
          </w:tcPr>
          <w:p>
            <w:pPr>
              <w:jc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eastAsia="zh-CN"/>
              </w:rPr>
              <w:t>损坏更换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 w:type="dxa"/>
          </w:tcPr>
          <w:p>
            <w:pPr>
              <w:jc w:val="center"/>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19</w:t>
            </w:r>
          </w:p>
        </w:tc>
        <w:tc>
          <w:tcPr>
            <w:tcW w:w="6555" w:type="dxa"/>
          </w:tcPr>
          <w:p>
            <w:pPr>
              <w:jc w:val="both"/>
              <w:rPr>
                <w:rFonts w:hint="eastAsia" w:ascii="宋体" w:hAnsi="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检查并更换润滑油路系统</w:t>
            </w:r>
          </w:p>
        </w:tc>
        <w:tc>
          <w:tcPr>
            <w:tcW w:w="1890" w:type="dxa"/>
          </w:tcPr>
          <w:p>
            <w:pPr>
              <w:jc w:val="center"/>
              <w:rPr>
                <w:rFonts w:hint="eastAsia" w:ascii="宋体" w:hAnsi="宋体" w:eastAsia="宋体" w:cs="宋体"/>
                <w:color w:val="auto"/>
                <w:kern w:val="0"/>
                <w:sz w:val="28"/>
                <w:szCs w:val="28"/>
                <w:highlight w:val="none"/>
              </w:rPr>
            </w:pPr>
          </w:p>
        </w:tc>
      </w:tr>
    </w:tbl>
    <w:p>
      <w:pPr>
        <w:pStyle w:val="3"/>
        <w:jc w:val="both"/>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（三）其他服务要求：</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eastAsia="zh-CN"/>
        </w:rPr>
        <w:t>甲方</w:t>
      </w:r>
      <w:r>
        <w:rPr>
          <w:rFonts w:hint="eastAsia" w:ascii="宋体" w:hAnsi="宋体" w:eastAsia="宋体" w:cs="宋体"/>
          <w:color w:val="auto"/>
          <w:sz w:val="28"/>
          <w:szCs w:val="28"/>
          <w:highlight w:val="none"/>
        </w:rPr>
        <w:t>有权监督检查</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依照合同约定实施维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计划的情况，监督经</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后的</w:t>
      </w:r>
      <w:r>
        <w:rPr>
          <w:rFonts w:hint="eastAsia" w:ascii="宋体" w:hAnsi="宋体" w:eastAsia="宋体" w:cs="宋体"/>
          <w:color w:val="auto"/>
          <w:kern w:val="0"/>
          <w:sz w:val="28"/>
          <w:szCs w:val="28"/>
          <w:highlight w:val="none"/>
        </w:rPr>
        <w:t>电梯是否符合法律法规、安全技术规范、强制性标准和电梯制造单位的技术要求，监督电梯安全性能是否良好。</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甲方</w:t>
      </w:r>
      <w:r>
        <w:rPr>
          <w:rFonts w:hint="eastAsia" w:ascii="宋体" w:hAnsi="宋体" w:eastAsia="宋体" w:cs="宋体"/>
          <w:color w:val="auto"/>
          <w:sz w:val="28"/>
          <w:szCs w:val="28"/>
          <w:highlight w:val="none"/>
        </w:rPr>
        <w:t>有权检查</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拟派维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服务人员的持证上岗情况，有权拒绝无证人员开展维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活动。有权要求对方人员服从本单位现场安全管理，对不服从现场安全管理的对方人员，有权要求对方更换人员。</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3、除国家规定的法定监督检验与定期检验外，</w:t>
      </w:r>
      <w:r>
        <w:rPr>
          <w:rFonts w:hint="eastAsia" w:ascii="宋体" w:hAnsi="宋体" w:cs="宋体"/>
          <w:color w:val="auto"/>
          <w:sz w:val="28"/>
          <w:szCs w:val="28"/>
          <w:highlight w:val="none"/>
          <w:lang w:eastAsia="zh-CN"/>
        </w:rPr>
        <w:t>甲方</w:t>
      </w:r>
      <w:r>
        <w:rPr>
          <w:rFonts w:hint="eastAsia" w:ascii="宋体" w:hAnsi="宋体" w:eastAsia="宋体" w:cs="宋体"/>
          <w:color w:val="auto"/>
          <w:sz w:val="28"/>
          <w:szCs w:val="28"/>
          <w:highlight w:val="none"/>
        </w:rPr>
        <w:t>有权委托特种设备检验机构或第三方中介机构对对方按照合同约定实施维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工作的情况进行评定。</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cs="宋体"/>
          <w:color w:val="auto"/>
          <w:sz w:val="28"/>
          <w:szCs w:val="28"/>
          <w:highlight w:val="none"/>
          <w:lang w:eastAsia="zh-CN"/>
        </w:rPr>
        <w:t>维修方</w:t>
      </w:r>
      <w:r>
        <w:rPr>
          <w:rFonts w:hint="eastAsia" w:ascii="宋体" w:hAnsi="宋体" w:eastAsia="宋体" w:cs="宋体"/>
          <w:color w:val="auto"/>
          <w:kern w:val="0"/>
          <w:sz w:val="28"/>
          <w:szCs w:val="28"/>
          <w:highlight w:val="none"/>
        </w:rPr>
        <w:t>实施维</w:t>
      </w:r>
      <w:r>
        <w:rPr>
          <w:rFonts w:hint="eastAsia" w:ascii="宋体" w:hAnsi="宋体" w:cs="宋体"/>
          <w:color w:val="auto"/>
          <w:kern w:val="0"/>
          <w:sz w:val="28"/>
          <w:szCs w:val="28"/>
          <w:highlight w:val="none"/>
          <w:lang w:eastAsia="zh-CN"/>
        </w:rPr>
        <w:t>修</w:t>
      </w:r>
      <w:r>
        <w:rPr>
          <w:rFonts w:hint="eastAsia" w:ascii="宋体" w:hAnsi="宋体" w:eastAsia="宋体" w:cs="宋体"/>
          <w:color w:val="auto"/>
          <w:kern w:val="0"/>
          <w:sz w:val="28"/>
          <w:szCs w:val="28"/>
          <w:highlight w:val="none"/>
        </w:rPr>
        <w:t>后的电梯应符合安全技术规范、强制性标准和电梯制造单位的技术要求。</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5、为有效实施</w:t>
      </w:r>
      <w:r>
        <w:rPr>
          <w:rFonts w:hint="eastAsia" w:ascii="宋体" w:hAnsi="宋体" w:cs="宋体"/>
          <w:color w:val="auto"/>
          <w:sz w:val="28"/>
          <w:szCs w:val="28"/>
          <w:highlight w:val="none"/>
          <w:lang w:eastAsia="zh-CN"/>
        </w:rPr>
        <w:t>维修</w:t>
      </w:r>
      <w:r>
        <w:rPr>
          <w:rFonts w:hint="eastAsia" w:ascii="宋体" w:hAnsi="宋体" w:eastAsia="宋体" w:cs="宋体"/>
          <w:color w:val="auto"/>
          <w:sz w:val="28"/>
          <w:szCs w:val="28"/>
          <w:highlight w:val="none"/>
        </w:rPr>
        <w:t>计划，</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应安排熟悉所维保电梯原理、结构、性能、安全要求的特种设备作业人员负责维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工作，并督促其严格按照产品工艺要求、安全及技术规范进行维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w:t>
      </w:r>
    </w:p>
    <w:p>
      <w:pPr>
        <w:spacing w:line="56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作业过程中</w:t>
      </w:r>
      <w:r>
        <w:rPr>
          <w:rFonts w:hint="eastAsia" w:ascii="宋体" w:hAnsi="宋体" w:cs="宋体"/>
          <w:color w:val="auto"/>
          <w:sz w:val="28"/>
          <w:szCs w:val="28"/>
          <w:highlight w:val="none"/>
          <w:lang w:eastAsia="zh-CN"/>
        </w:rPr>
        <w:t>维修方</w:t>
      </w:r>
      <w:r>
        <w:rPr>
          <w:rFonts w:hint="eastAsia" w:ascii="宋体" w:hAnsi="宋体" w:eastAsia="宋体" w:cs="宋体"/>
          <w:color w:val="auto"/>
          <w:kern w:val="0"/>
          <w:sz w:val="28"/>
          <w:szCs w:val="28"/>
          <w:highlight w:val="none"/>
        </w:rPr>
        <w:t>应服从</w:t>
      </w:r>
      <w:r>
        <w:rPr>
          <w:rFonts w:hint="eastAsia" w:ascii="宋体" w:hAnsi="宋体" w:cs="宋体"/>
          <w:color w:val="auto"/>
          <w:sz w:val="28"/>
          <w:szCs w:val="28"/>
          <w:highlight w:val="none"/>
          <w:lang w:eastAsia="zh-CN"/>
        </w:rPr>
        <w:t>甲方</w:t>
      </w:r>
      <w:r>
        <w:rPr>
          <w:rFonts w:hint="eastAsia" w:ascii="宋体" w:hAnsi="宋体" w:eastAsia="宋体" w:cs="宋体"/>
          <w:color w:val="auto"/>
          <w:kern w:val="0"/>
          <w:sz w:val="28"/>
          <w:szCs w:val="28"/>
          <w:highlight w:val="none"/>
        </w:rPr>
        <w:t>现场安全管理，落实现场安全防护措施，</w:t>
      </w:r>
      <w:r>
        <w:rPr>
          <w:rFonts w:hint="eastAsia" w:ascii="宋体" w:hAnsi="宋体" w:cs="宋体"/>
          <w:color w:val="auto"/>
          <w:kern w:val="0"/>
          <w:sz w:val="28"/>
          <w:szCs w:val="28"/>
          <w:highlight w:val="none"/>
          <w:lang w:eastAsia="zh-CN"/>
        </w:rPr>
        <w:t>场地清洁，</w:t>
      </w:r>
      <w:r>
        <w:rPr>
          <w:rFonts w:hint="eastAsia" w:ascii="宋体" w:hAnsi="宋体" w:eastAsia="宋体" w:cs="宋体"/>
          <w:color w:val="auto"/>
          <w:kern w:val="0"/>
          <w:sz w:val="28"/>
          <w:szCs w:val="28"/>
          <w:highlight w:val="none"/>
        </w:rPr>
        <w:t>保证作业安全。需要安全监护作业的内容</w:t>
      </w:r>
      <w:r>
        <w:rPr>
          <w:rFonts w:hint="eastAsia" w:ascii="宋体" w:hAnsi="宋体" w:eastAsia="宋体" w:cs="宋体"/>
          <w:color w:val="auto"/>
          <w:kern w:val="0"/>
          <w:sz w:val="28"/>
          <w:szCs w:val="28"/>
          <w:highlight w:val="none"/>
          <w:lang w:val="en-US" w:eastAsia="zh-CN"/>
        </w:rPr>
        <w:t>投标人</w:t>
      </w:r>
      <w:r>
        <w:rPr>
          <w:rFonts w:hint="eastAsia" w:ascii="宋体" w:hAnsi="宋体" w:eastAsia="宋体" w:cs="宋体"/>
          <w:color w:val="auto"/>
          <w:kern w:val="0"/>
          <w:sz w:val="28"/>
          <w:szCs w:val="28"/>
          <w:highlight w:val="none"/>
        </w:rPr>
        <w:t>应书面告知</w:t>
      </w:r>
      <w:r>
        <w:rPr>
          <w:rFonts w:hint="eastAsia" w:ascii="宋体" w:hAnsi="宋体" w:cs="宋体"/>
          <w:color w:val="auto"/>
          <w:kern w:val="0"/>
          <w:sz w:val="28"/>
          <w:szCs w:val="28"/>
          <w:highlight w:val="none"/>
          <w:lang w:eastAsia="zh-CN"/>
        </w:rPr>
        <w:t>甲方</w:t>
      </w:r>
      <w:r>
        <w:rPr>
          <w:rFonts w:hint="eastAsia" w:ascii="宋体" w:hAnsi="宋体" w:eastAsia="宋体" w:cs="宋体"/>
          <w:color w:val="auto"/>
          <w:kern w:val="0"/>
          <w:sz w:val="28"/>
          <w:szCs w:val="28"/>
          <w:highlight w:val="none"/>
        </w:rPr>
        <w:t>，</w:t>
      </w:r>
      <w:r>
        <w:rPr>
          <w:rFonts w:hint="eastAsia" w:ascii="宋体" w:hAnsi="宋体" w:eastAsia="宋体" w:cs="宋体"/>
          <w:b/>
          <w:bCs/>
          <w:color w:val="auto"/>
          <w:kern w:val="0"/>
          <w:sz w:val="28"/>
          <w:szCs w:val="28"/>
          <w:highlight w:val="none"/>
        </w:rPr>
        <w:t>作业时，作业人员不得少于二人</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strike w:val="0"/>
          <w:dstrike w:val="0"/>
          <w:color w:val="auto"/>
          <w:kern w:val="0"/>
          <w:sz w:val="28"/>
          <w:szCs w:val="28"/>
          <w:highlight w:val="none"/>
        </w:rPr>
        <w:t>作业人员应当</w:t>
      </w:r>
      <w:r>
        <w:rPr>
          <w:rFonts w:hint="eastAsia" w:ascii="宋体" w:hAnsi="宋体" w:eastAsia="宋体" w:cs="宋体"/>
          <w:strike w:val="0"/>
          <w:dstrike w:val="0"/>
          <w:color w:val="auto"/>
          <w:kern w:val="0"/>
          <w:sz w:val="28"/>
          <w:szCs w:val="28"/>
          <w:highlight w:val="none"/>
          <w:lang w:val="en-US" w:eastAsia="zh-CN"/>
        </w:rPr>
        <w:t>具有</w:t>
      </w:r>
      <w:r>
        <w:rPr>
          <w:rFonts w:hint="eastAsia" w:ascii="宋体" w:hAnsi="宋体" w:eastAsia="宋体" w:cs="宋体"/>
          <w:strike w:val="0"/>
          <w:dstrike w:val="0"/>
          <w:color w:val="auto"/>
          <w:kern w:val="0"/>
          <w:sz w:val="28"/>
          <w:szCs w:val="28"/>
          <w:highlight w:val="none"/>
        </w:rPr>
        <w:t>《特种设备作业人员证》</w:t>
      </w:r>
      <w:r>
        <w:rPr>
          <w:rFonts w:hint="eastAsia" w:ascii="宋体" w:hAnsi="宋体" w:eastAsia="宋体" w:cs="宋体"/>
          <w:b/>
          <w:bCs/>
          <w:color w:val="auto"/>
          <w:kern w:val="0"/>
          <w:sz w:val="28"/>
          <w:szCs w:val="28"/>
          <w:highlight w:val="none"/>
        </w:rPr>
        <w:t>。</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7、现场需停</w:t>
      </w:r>
      <w:r>
        <w:rPr>
          <w:rFonts w:hint="eastAsia" w:ascii="宋体" w:hAnsi="宋体" w:cs="宋体"/>
          <w:color w:val="auto"/>
          <w:kern w:val="0"/>
          <w:sz w:val="28"/>
          <w:szCs w:val="28"/>
          <w:highlight w:val="none"/>
          <w:lang w:eastAsia="zh-CN"/>
        </w:rPr>
        <w:t>总电或临时接电</w:t>
      </w:r>
      <w:r>
        <w:rPr>
          <w:rFonts w:hint="eastAsia" w:ascii="宋体" w:hAnsi="宋体" w:eastAsia="宋体" w:cs="宋体"/>
          <w:color w:val="auto"/>
          <w:kern w:val="0"/>
          <w:sz w:val="28"/>
          <w:szCs w:val="28"/>
          <w:highlight w:val="none"/>
        </w:rPr>
        <w:t>时，</w:t>
      </w:r>
      <w:r>
        <w:rPr>
          <w:rFonts w:hint="eastAsia" w:ascii="宋体" w:hAnsi="宋体" w:cs="宋体"/>
          <w:color w:val="auto"/>
          <w:sz w:val="28"/>
          <w:szCs w:val="28"/>
          <w:highlight w:val="none"/>
          <w:lang w:eastAsia="zh-CN"/>
        </w:rPr>
        <w:t>维修方</w:t>
      </w:r>
      <w:r>
        <w:rPr>
          <w:rFonts w:hint="eastAsia" w:ascii="宋体" w:hAnsi="宋体" w:eastAsia="宋体" w:cs="宋体"/>
          <w:color w:val="auto"/>
          <w:kern w:val="0"/>
          <w:sz w:val="28"/>
          <w:szCs w:val="28"/>
          <w:highlight w:val="none"/>
        </w:rPr>
        <w:t>应通知</w:t>
      </w:r>
      <w:r>
        <w:rPr>
          <w:rFonts w:hint="eastAsia" w:ascii="宋体" w:hAnsi="宋体" w:cs="宋体"/>
          <w:color w:val="auto"/>
          <w:sz w:val="28"/>
          <w:szCs w:val="28"/>
          <w:highlight w:val="none"/>
          <w:lang w:eastAsia="zh-CN"/>
        </w:rPr>
        <w:t>甲方</w:t>
      </w:r>
      <w:r>
        <w:rPr>
          <w:rFonts w:hint="eastAsia" w:ascii="宋体" w:hAnsi="宋体" w:cs="宋体"/>
          <w:color w:val="auto"/>
          <w:kern w:val="0"/>
          <w:sz w:val="28"/>
          <w:szCs w:val="28"/>
          <w:highlight w:val="none"/>
          <w:lang w:eastAsia="zh-CN"/>
        </w:rPr>
        <w:t>工程部电工</w:t>
      </w:r>
      <w:r>
        <w:rPr>
          <w:rFonts w:hint="eastAsia" w:ascii="宋体" w:hAnsi="宋体" w:eastAsia="宋体" w:cs="宋体"/>
          <w:color w:val="auto"/>
          <w:kern w:val="0"/>
          <w:sz w:val="28"/>
          <w:szCs w:val="28"/>
          <w:highlight w:val="none"/>
        </w:rPr>
        <w:t>。</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8、</w:t>
      </w: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甲方</w:t>
      </w:r>
      <w:r>
        <w:rPr>
          <w:rFonts w:hint="eastAsia" w:ascii="宋体" w:hAnsi="宋体" w:eastAsia="宋体" w:cs="宋体"/>
          <w:color w:val="auto"/>
          <w:sz w:val="28"/>
          <w:szCs w:val="28"/>
          <w:highlight w:val="none"/>
        </w:rPr>
        <w:t>的故障统计记录，</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应提出</w:t>
      </w:r>
      <w:r>
        <w:rPr>
          <w:rFonts w:hint="eastAsia" w:ascii="宋体" w:hAnsi="宋体" w:cs="宋体"/>
          <w:color w:val="auto"/>
          <w:sz w:val="28"/>
          <w:szCs w:val="28"/>
          <w:highlight w:val="none"/>
          <w:lang w:eastAsia="zh-CN"/>
        </w:rPr>
        <w:t>扶梯</w:t>
      </w:r>
      <w:r>
        <w:rPr>
          <w:rFonts w:hint="eastAsia" w:ascii="宋体" w:hAnsi="宋体" w:eastAsia="宋体" w:cs="宋体"/>
          <w:color w:val="auto"/>
          <w:sz w:val="28"/>
          <w:szCs w:val="28"/>
          <w:highlight w:val="none"/>
        </w:rPr>
        <w:t>故障</w:t>
      </w:r>
      <w:r>
        <w:rPr>
          <w:rFonts w:hint="eastAsia" w:ascii="宋体" w:hAnsi="宋体" w:cs="宋体"/>
          <w:color w:val="auto"/>
          <w:sz w:val="28"/>
          <w:szCs w:val="28"/>
          <w:highlight w:val="none"/>
          <w:lang w:eastAsia="zh-CN"/>
        </w:rPr>
        <w:t>维修</w:t>
      </w:r>
      <w:r>
        <w:rPr>
          <w:rFonts w:hint="eastAsia" w:ascii="宋体" w:hAnsi="宋体" w:eastAsia="宋体" w:cs="宋体"/>
          <w:color w:val="auto"/>
          <w:sz w:val="28"/>
          <w:szCs w:val="28"/>
          <w:highlight w:val="none"/>
        </w:rPr>
        <w:t>分析报告。报告中应包含电梯故障分析、</w:t>
      </w:r>
      <w:r>
        <w:rPr>
          <w:rFonts w:hint="eastAsia" w:ascii="宋体" w:hAnsi="宋体" w:cs="宋体"/>
          <w:color w:val="auto"/>
          <w:sz w:val="28"/>
          <w:szCs w:val="28"/>
          <w:highlight w:val="none"/>
          <w:lang w:eastAsia="zh-CN"/>
        </w:rPr>
        <w:t>需要维修更换配件详细内容</w:t>
      </w:r>
      <w:r>
        <w:rPr>
          <w:rFonts w:hint="eastAsia" w:ascii="宋体" w:hAnsi="宋体" w:eastAsia="宋体" w:cs="宋体"/>
          <w:color w:val="auto"/>
          <w:sz w:val="28"/>
          <w:szCs w:val="28"/>
          <w:highlight w:val="none"/>
        </w:rPr>
        <w:t>，以及有关电梯</w:t>
      </w:r>
      <w:r>
        <w:rPr>
          <w:rFonts w:hint="eastAsia" w:ascii="宋体" w:hAnsi="宋体" w:cs="宋体"/>
          <w:color w:val="auto"/>
          <w:sz w:val="28"/>
          <w:szCs w:val="28"/>
          <w:highlight w:val="none"/>
          <w:lang w:eastAsia="zh-CN"/>
        </w:rPr>
        <w:t>维修维护</w:t>
      </w:r>
      <w:r>
        <w:rPr>
          <w:rFonts w:hint="eastAsia" w:ascii="宋体" w:hAnsi="宋体" w:eastAsia="宋体" w:cs="宋体"/>
          <w:color w:val="auto"/>
          <w:sz w:val="28"/>
          <w:szCs w:val="28"/>
          <w:highlight w:val="none"/>
        </w:rPr>
        <w:t>的合理化建议。</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维修方</w:t>
      </w:r>
      <w:r>
        <w:rPr>
          <w:rFonts w:hint="eastAsia" w:ascii="宋体" w:hAnsi="宋体" w:eastAsia="宋体" w:cs="宋体"/>
          <w:color w:val="auto"/>
          <w:sz w:val="28"/>
          <w:szCs w:val="28"/>
          <w:highlight w:val="none"/>
        </w:rPr>
        <w:t>不得以任何形式将维</w:t>
      </w:r>
      <w:r>
        <w:rPr>
          <w:rFonts w:hint="eastAsia" w:ascii="宋体" w:hAnsi="宋体" w:cs="宋体"/>
          <w:color w:val="auto"/>
          <w:sz w:val="28"/>
          <w:szCs w:val="28"/>
          <w:highlight w:val="none"/>
          <w:lang w:eastAsia="zh-CN"/>
        </w:rPr>
        <w:t>修</w:t>
      </w:r>
      <w:r>
        <w:rPr>
          <w:rFonts w:hint="eastAsia" w:ascii="宋体" w:hAnsi="宋体" w:eastAsia="宋体" w:cs="宋体"/>
          <w:color w:val="auto"/>
          <w:sz w:val="28"/>
          <w:szCs w:val="28"/>
          <w:highlight w:val="none"/>
        </w:rPr>
        <w:t>工作非法分包、转包。</w:t>
      </w:r>
    </w:p>
    <w:p>
      <w:pPr>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、电梯维修所有零配件都要提供原装正品</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供货时提供</w:t>
      </w:r>
      <w:r>
        <w:rPr>
          <w:rFonts w:hint="eastAsia" w:ascii="宋体" w:hAnsi="宋体" w:eastAsia="宋体" w:cs="宋体"/>
          <w:color w:val="auto"/>
          <w:sz w:val="28"/>
          <w:szCs w:val="28"/>
          <w:highlight w:val="none"/>
        </w:rPr>
        <w:t>合格证等相应手续。</w:t>
      </w:r>
    </w:p>
    <w:p>
      <w:pPr>
        <w:spacing w:line="560" w:lineRule="exact"/>
        <w:ind w:firstLine="420" w:firstLineChars="200"/>
        <w:jc w:val="left"/>
        <w:rPr>
          <w:rFonts w:hint="default"/>
          <w:highlight w:val="none"/>
          <w:lang w:val="en-US" w:eastAsia="zh-CN"/>
        </w:rPr>
      </w:pPr>
      <w:r>
        <w:rPr>
          <w:rFonts w:hint="eastAsia"/>
          <w:highlight w:val="none"/>
          <w:lang w:val="en-US" w:eastAsia="zh-CN"/>
        </w:rPr>
        <w:t xml:space="preserve"> </w:t>
      </w: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扶梯大修质保期为验收合格后</w:t>
      </w:r>
      <w:r>
        <w:rPr>
          <w:rFonts w:hint="eastAsia" w:ascii="宋体" w:hAnsi="宋体" w:cs="宋体"/>
          <w:color w:val="auto"/>
          <w:sz w:val="28"/>
          <w:szCs w:val="28"/>
          <w:highlight w:val="none"/>
          <w:lang w:val="en-US" w:eastAsia="zh-CN"/>
        </w:rPr>
        <w:t xml:space="preserve"> 1 年，</w:t>
      </w:r>
      <w:r>
        <w:rPr>
          <w:rFonts w:hint="eastAsia" w:ascii="宋体" w:hAnsi="宋体" w:cs="宋体"/>
          <w:color w:val="auto"/>
          <w:sz w:val="28"/>
          <w:szCs w:val="28"/>
          <w:highlight w:val="none"/>
          <w:lang w:eastAsia="zh-CN"/>
        </w:rPr>
        <w:t>质保期内配件损坏（包括</w:t>
      </w:r>
      <w:r>
        <w:rPr>
          <w:rFonts w:hint="eastAsia" w:ascii="宋体" w:hAnsi="宋体" w:cs="宋体"/>
          <w:color w:val="auto"/>
          <w:kern w:val="0"/>
          <w:sz w:val="28"/>
          <w:szCs w:val="28"/>
          <w:highlight w:val="none"/>
          <w:lang w:val="en-US" w:eastAsia="zh-CN"/>
        </w:rPr>
        <w:t>没有更换的配件</w:t>
      </w:r>
      <w:r>
        <w:rPr>
          <w:rFonts w:hint="eastAsia" w:ascii="宋体" w:hAnsi="宋体" w:cs="宋体"/>
          <w:color w:val="auto"/>
          <w:sz w:val="28"/>
          <w:szCs w:val="28"/>
          <w:highlight w:val="none"/>
          <w:lang w:eastAsia="zh-CN"/>
        </w:rPr>
        <w:t>）维修方</w:t>
      </w:r>
      <w:r>
        <w:rPr>
          <w:rFonts w:hint="eastAsia" w:ascii="宋体" w:hAnsi="宋体" w:cs="宋体"/>
          <w:color w:val="auto"/>
          <w:kern w:val="0"/>
          <w:sz w:val="28"/>
          <w:szCs w:val="28"/>
          <w:highlight w:val="none"/>
          <w:lang w:val="en-US" w:eastAsia="zh-CN"/>
        </w:rPr>
        <w:t>无偿维修更换配件。</w:t>
      </w:r>
    </w:p>
    <w:p>
      <w:pPr>
        <w:rPr>
          <w:rFonts w:hint="eastAsia" w:ascii="宋体" w:hAnsi="宋体" w:cs="宋体"/>
          <w:color w:val="000000"/>
          <w:highlight w:val="none"/>
        </w:rPr>
      </w:pPr>
    </w:p>
    <w:p>
      <w:pPr>
        <w:pStyle w:val="2"/>
        <w:ind w:left="0" w:leftChars="0" w:firstLine="0" w:firstLineChars="0"/>
        <w:rPr>
          <w:rFonts w:hint="eastAsia" w:ascii="宋体" w:hAnsi="宋体" w:cs="宋体"/>
          <w:color w:val="000000"/>
          <w:highlight w:val="none"/>
        </w:rPr>
      </w:pPr>
    </w:p>
    <w:p>
      <w:pPr>
        <w:pStyle w:val="2"/>
        <w:rPr>
          <w:rFonts w:hint="eastAsia" w:ascii="宋体" w:hAnsi="宋体" w:cs="宋体"/>
          <w:color w:val="000000"/>
          <w:highlight w:val="none"/>
        </w:rPr>
      </w:pPr>
    </w:p>
    <w:p>
      <w:pPr>
        <w:pStyle w:val="2"/>
        <w:rPr>
          <w:rFonts w:hint="eastAsia" w:ascii="宋体" w:hAnsi="宋体" w:cs="宋体"/>
          <w:color w:val="000000"/>
          <w:highlight w:val="none"/>
        </w:rPr>
      </w:pPr>
    </w:p>
    <w:p>
      <w:pPr>
        <w:pStyle w:val="2"/>
        <w:rPr>
          <w:rFonts w:hint="eastAsia" w:ascii="宋体" w:hAnsi="宋体" w:cs="宋体"/>
          <w:color w:val="000000"/>
          <w:highlight w:val="none"/>
        </w:rPr>
      </w:pPr>
    </w:p>
    <w:p>
      <w:pPr>
        <w:pStyle w:val="2"/>
        <w:rPr>
          <w:rFonts w:hint="eastAsia" w:ascii="宋体" w:hAnsi="宋体" w:cs="宋体"/>
          <w:color w:val="000000"/>
          <w:highlight w:val="none"/>
        </w:rPr>
      </w:pPr>
    </w:p>
    <w:p>
      <w:pPr>
        <w:pStyle w:val="2"/>
        <w:rPr>
          <w:rFonts w:hint="eastAsia" w:ascii="宋体" w:hAnsi="宋体" w:cs="宋体"/>
          <w:color w:val="000000"/>
          <w:highlight w:val="none"/>
        </w:rPr>
      </w:pPr>
    </w:p>
    <w:p>
      <w:pPr>
        <w:pStyle w:val="2"/>
        <w:rPr>
          <w:rFonts w:hint="eastAsia" w:ascii="宋体" w:hAnsi="宋体" w:cs="宋体"/>
          <w:color w:val="000000"/>
          <w:highlight w:val="none"/>
        </w:rPr>
      </w:pPr>
    </w:p>
    <w:p>
      <w:pPr>
        <w:pStyle w:val="2"/>
        <w:ind w:left="0" w:leftChars="0" w:firstLine="0" w:firstLineChars="0"/>
        <w:rPr>
          <w:rFonts w:hint="eastAsia" w:ascii="宋体" w:hAnsi="宋体" w:cs="宋体"/>
          <w:color w:val="000000"/>
          <w:highlight w:val="none"/>
        </w:rPr>
      </w:pPr>
    </w:p>
    <w:p>
      <w:pPr>
        <w:pStyle w:val="3"/>
        <w:rPr>
          <w:rFonts w:ascii="宋体" w:hAnsi="宋体" w:cs="宋体"/>
          <w:color w:val="000000"/>
          <w:highlight w:val="none"/>
        </w:rPr>
      </w:pPr>
      <w:r>
        <w:rPr>
          <w:rFonts w:hint="eastAsia" w:ascii="宋体" w:hAnsi="宋体" w:cs="宋体"/>
          <w:color w:val="000000"/>
          <w:highlight w:val="none"/>
        </w:rPr>
        <w:t>第四章  合同主要条款</w:t>
      </w:r>
      <w:bookmarkEnd w:id="81"/>
      <w:bookmarkEnd w:id="82"/>
      <w:bookmarkEnd w:id="83"/>
    </w:p>
    <w:p>
      <w:pPr>
        <w:tabs>
          <w:tab w:val="left" w:pos="3640"/>
        </w:tabs>
        <w:autoSpaceDE w:val="0"/>
        <w:autoSpaceDN w:val="0"/>
        <w:spacing w:line="360" w:lineRule="auto"/>
        <w:rPr>
          <w:rFonts w:ascii="宋体" w:hAnsi="宋体" w:cs="宋体"/>
          <w:color w:val="000000"/>
          <w:szCs w:val="21"/>
          <w:highlight w:val="none"/>
          <w:u w:val="single"/>
        </w:rPr>
      </w:pPr>
      <w:bookmarkStart w:id="85" w:name="_Toc26873"/>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w:t>
      </w:r>
      <w:r>
        <w:rPr>
          <w:rFonts w:hint="eastAsia" w:ascii="宋体" w:hAnsi="宋体" w:cs="宋体"/>
          <w:b/>
          <w:color w:val="000000" w:themeColor="text1"/>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的谈判文件、响应文件等，买、卖双方经协商一致，签订如下合同条款，并共同遵守。</w:t>
      </w:r>
    </w:p>
    <w:p>
      <w:pPr>
        <w:numPr>
          <w:ilvl w:val="0"/>
          <w:numId w:val="3"/>
        </w:numPr>
        <w:tabs>
          <w:tab w:val="left" w:pos="3640"/>
        </w:tabs>
        <w:autoSpaceDE w:val="0"/>
        <w:autoSpaceDN w:val="0"/>
        <w:spacing w:line="360" w:lineRule="auto"/>
        <w:ind w:firstLine="422" w:firstLineChars="200"/>
        <w:rPr>
          <w:rFonts w:ascii="宋体" w:hAnsi="宋体" w:cs="宋体"/>
          <w:b/>
          <w:color w:val="000000"/>
          <w:spacing w:val="8"/>
          <w:szCs w:val="21"/>
          <w:highlight w:val="none"/>
        </w:rPr>
      </w:pPr>
      <w:r>
        <w:rPr>
          <w:rFonts w:hint="eastAsia" w:ascii="宋体" w:hAnsi="宋体" w:cs="宋体"/>
          <w:b/>
          <w:color w:val="000000"/>
          <w:szCs w:val="21"/>
          <w:highlight w:val="none"/>
        </w:rPr>
        <w:t>服务内容</w:t>
      </w:r>
    </w:p>
    <w:p>
      <w:pPr>
        <w:tabs>
          <w:tab w:val="left" w:pos="3640"/>
        </w:tabs>
        <w:autoSpaceDE w:val="0"/>
        <w:autoSpaceDN w:val="0"/>
        <w:spacing w:line="360" w:lineRule="auto"/>
        <w:ind w:left="422"/>
        <w:rPr>
          <w:rFonts w:ascii="宋体" w:hAnsi="宋体" w:cs="宋体"/>
          <w:b/>
          <w:color w:val="000000"/>
          <w:spacing w:val="8"/>
          <w:szCs w:val="21"/>
          <w:highlight w:val="none"/>
        </w:rPr>
      </w:pPr>
      <w:r>
        <w:rPr>
          <w:rFonts w:hint="eastAsia" w:ascii="宋体" w:hAnsi="宋体" w:cs="宋体"/>
          <w:b/>
          <w:color w:val="000000"/>
          <w:szCs w:val="21"/>
          <w:highlight w:val="none"/>
        </w:rPr>
        <w:t>服务内容：</w:t>
      </w:r>
    </w:p>
    <w:p>
      <w:pPr>
        <w:tabs>
          <w:tab w:val="left" w:pos="3640"/>
        </w:tabs>
        <w:autoSpaceDE w:val="0"/>
        <w:autoSpaceDN w:val="0"/>
        <w:spacing w:line="360" w:lineRule="auto"/>
        <w:ind w:left="422"/>
        <w:rPr>
          <w:rFonts w:ascii="宋体" w:hAnsi="宋体" w:cs="宋体"/>
          <w:b/>
          <w:color w:val="000000"/>
          <w:spacing w:val="8"/>
          <w:szCs w:val="21"/>
          <w:highlight w:val="none"/>
        </w:rPr>
      </w:pPr>
      <w:r>
        <w:rPr>
          <w:rFonts w:hint="eastAsia" w:ascii="宋体" w:hAnsi="宋体" w:cs="宋体"/>
          <w:b/>
          <w:color w:val="000000"/>
          <w:szCs w:val="21"/>
          <w:highlight w:val="none"/>
        </w:rPr>
        <w:t>合同金额：</w:t>
      </w:r>
    </w:p>
    <w:p>
      <w:pPr>
        <w:tabs>
          <w:tab w:val="left" w:pos="3640"/>
        </w:tabs>
        <w:autoSpaceDE w:val="0"/>
        <w:autoSpaceDN w:val="0"/>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二、服务期：</w:t>
      </w:r>
    </w:p>
    <w:p>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三、服务人员配备：</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四、服务地点：</w:t>
      </w:r>
    </w:p>
    <w:p>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五、验收：</w:t>
      </w:r>
    </w:p>
    <w:p>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六、付款方式：</w:t>
      </w:r>
    </w:p>
    <w:p>
      <w:pPr>
        <w:tabs>
          <w:tab w:val="left" w:pos="3640"/>
        </w:tabs>
        <w:autoSpaceDE w:val="0"/>
        <w:autoSpaceDN w:val="0"/>
        <w:spacing w:line="360" w:lineRule="auto"/>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七</w:t>
      </w:r>
      <w:r>
        <w:rPr>
          <w:rFonts w:hint="eastAsia" w:ascii="宋体" w:hAnsi="宋体" w:cs="宋体"/>
          <w:b/>
          <w:bCs/>
          <w:color w:val="000000"/>
          <w:szCs w:val="21"/>
          <w:highlight w:val="none"/>
        </w:rPr>
        <w:t>、违约责任</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1、买方无正当理由拒绝接受服务，买方向卖方偿付合同价的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w:t>
      </w:r>
      <w:r>
        <w:rPr>
          <w:rFonts w:hint="eastAsia" w:ascii="宋体" w:hAnsi="宋体" w:cs="宋体"/>
          <w:color w:val="000000"/>
          <w:szCs w:val="21"/>
          <w:highlight w:val="none"/>
        </w:rPr>
        <w:t>的违约金；</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2、买方无正当理由逾期付款的，买方向卖方每日偿付合同价的</w:t>
      </w:r>
      <w:r>
        <w:rPr>
          <w:rFonts w:hint="eastAsia" w:ascii="宋体" w:hAnsi="宋体" w:cs="宋体"/>
          <w:color w:val="000000"/>
          <w:spacing w:val="8"/>
          <w:szCs w:val="21"/>
          <w:highlight w:val="none"/>
          <w:u w:val="single"/>
        </w:rPr>
        <w:t xml:space="preserve">     </w:t>
      </w:r>
      <w:r>
        <w:rPr>
          <w:rFonts w:hint="eastAsia" w:ascii="宋体" w:hAnsi="宋体" w:cs="宋体"/>
          <w:color w:val="000000"/>
          <w:szCs w:val="21"/>
          <w:highlight w:val="none"/>
        </w:rPr>
        <w:t>‰的违约金；</w:t>
      </w:r>
    </w:p>
    <w:p>
      <w:pPr>
        <w:tabs>
          <w:tab w:val="left" w:pos="3640"/>
        </w:tabs>
        <w:autoSpaceDE w:val="0"/>
        <w:autoSpaceDN w:val="0"/>
        <w:spacing w:line="500" w:lineRule="exact"/>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3、卖方不能提供服务的，卖方向买方支付合同价的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500" w:lineRule="exact"/>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4、卖方逾期提供服务的，卖方向买方每日偿付合同价的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500" w:lineRule="exact"/>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lang w:val="en-US" w:eastAsia="zh-CN"/>
        </w:rPr>
        <w:t>八</w:t>
      </w:r>
      <w:r>
        <w:rPr>
          <w:rFonts w:hint="eastAsia" w:ascii="宋体" w:hAnsi="宋体" w:cs="宋体"/>
          <w:b/>
          <w:color w:val="000000"/>
          <w:spacing w:val="8"/>
          <w:szCs w:val="21"/>
          <w:highlight w:val="none"/>
        </w:rPr>
        <w:t>、解决合同纠纷方式</w:t>
      </w:r>
    </w:p>
    <w:p>
      <w:pPr>
        <w:tabs>
          <w:tab w:val="left" w:pos="3640"/>
        </w:tabs>
        <w:autoSpaceDE w:val="0"/>
        <w:autoSpaceDN w:val="0"/>
        <w:spacing w:line="500" w:lineRule="exact"/>
        <w:ind w:firstLine="452" w:firstLineChars="200"/>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w:t>
      </w:r>
      <w:r>
        <w:rPr>
          <w:rFonts w:hint="eastAsia" w:ascii="宋体" w:hAnsi="宋体"/>
          <w:spacing w:val="8"/>
          <w:szCs w:val="21"/>
          <w:highlight w:val="none"/>
        </w:rPr>
        <w:t>①</w:t>
      </w:r>
      <w:r>
        <w:rPr>
          <w:rFonts w:hint="eastAsia" w:ascii="宋体" w:hAnsi="宋体" w:cs="宋体"/>
          <w:color w:val="000000"/>
          <w:spacing w:val="8"/>
          <w:szCs w:val="21"/>
          <w:highlight w:val="none"/>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000000"/>
          <w:spacing w:val="8"/>
          <w:szCs w:val="21"/>
          <w:highlight w:val="none"/>
        </w:rPr>
      </w:pPr>
      <w:r>
        <w:rPr>
          <w:rFonts w:hint="eastAsia" w:ascii="宋体" w:hAnsi="宋体"/>
          <w:b/>
          <w:color w:val="000000"/>
          <w:spacing w:val="8"/>
          <w:szCs w:val="21"/>
          <w:highlight w:val="none"/>
          <w:lang w:val="en-US" w:eastAsia="zh-CN"/>
        </w:rPr>
        <w:t>九</w:t>
      </w:r>
      <w:r>
        <w:rPr>
          <w:rFonts w:hint="eastAsia" w:ascii="宋体" w:hAnsi="宋体"/>
          <w:b/>
          <w:color w:val="000000"/>
          <w:spacing w:val="8"/>
          <w:szCs w:val="21"/>
          <w:highlight w:val="none"/>
        </w:rPr>
        <w:t>、</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1、成交通知书；</w:t>
      </w:r>
    </w:p>
    <w:p>
      <w:pPr>
        <w:tabs>
          <w:tab w:val="left" w:pos="3640"/>
        </w:tabs>
        <w:autoSpaceDE w:val="0"/>
        <w:autoSpaceDN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2、竞争性谈判文件；</w:t>
      </w:r>
    </w:p>
    <w:p>
      <w:pPr>
        <w:tabs>
          <w:tab w:val="left" w:pos="3640"/>
        </w:tabs>
        <w:autoSpaceDE w:val="0"/>
        <w:autoSpaceDN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3、本合同文本；</w:t>
      </w:r>
    </w:p>
    <w:p>
      <w:pPr>
        <w:tabs>
          <w:tab w:val="left" w:pos="3640"/>
        </w:tabs>
        <w:autoSpaceDE w:val="0"/>
        <w:autoSpaceDN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4、成交人的投标文件；　</w:t>
      </w:r>
    </w:p>
    <w:p>
      <w:pPr>
        <w:tabs>
          <w:tab w:val="left" w:pos="3640"/>
        </w:tabs>
        <w:autoSpaceDE w:val="0"/>
        <w:autoSpaceDN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5、其他补充约定事项。</w:t>
      </w:r>
    </w:p>
    <w:p>
      <w:pPr>
        <w:spacing w:line="360" w:lineRule="auto"/>
        <w:ind w:firstLine="413" w:firstLineChars="196"/>
        <w:rPr>
          <w:rFonts w:ascii="宋体" w:hAnsi="宋体"/>
          <w:b/>
          <w:color w:val="000000"/>
          <w:spacing w:val="8"/>
          <w:szCs w:val="21"/>
          <w:highlight w:val="none"/>
          <w:u w:val="single"/>
        </w:rPr>
      </w:pPr>
      <w:r>
        <w:rPr>
          <w:rFonts w:hint="eastAsia" w:ascii="宋体" w:hAnsi="宋体" w:cs="宋体"/>
          <w:b/>
          <w:color w:val="000000"/>
          <w:szCs w:val="21"/>
          <w:highlight w:val="none"/>
        </w:rPr>
        <w:t>十、其他约定事项：</w:t>
      </w:r>
      <w:r>
        <w:rPr>
          <w:rFonts w:hint="eastAsia" w:ascii="宋体" w:hAnsi="宋体"/>
          <w:color w:val="000000"/>
          <w:spacing w:val="8"/>
          <w:szCs w:val="21"/>
          <w:highlight w:val="none"/>
          <w:u w:val="single"/>
        </w:rPr>
        <w:t xml:space="preserve"> 　　　　　　　　　　　  </w:t>
      </w:r>
      <w:r>
        <w:rPr>
          <w:rFonts w:hint="eastAsia" w:ascii="宋体" w:hAnsi="宋体"/>
          <w:b/>
          <w:color w:val="000000"/>
          <w:spacing w:val="8"/>
          <w:szCs w:val="21"/>
          <w:highlight w:val="none"/>
          <w:u w:val="single"/>
        </w:rPr>
        <w:t xml:space="preserve">                               </w:t>
      </w:r>
    </w:p>
    <w:p>
      <w:pPr>
        <w:spacing w:line="360" w:lineRule="auto"/>
        <w:ind w:left="-178" w:leftChars="-85" w:firstLine="177" w:firstLineChars="78"/>
        <w:rPr>
          <w:rFonts w:ascii="宋体" w:hAnsi="宋体"/>
          <w:color w:val="000000"/>
          <w:spacing w:val="8"/>
          <w:szCs w:val="21"/>
          <w:highlight w:val="none"/>
          <w:u w:val="single"/>
        </w:rPr>
      </w:pPr>
      <w:r>
        <w:rPr>
          <w:rFonts w:hint="eastAsia" w:ascii="宋体" w:hAnsi="宋体"/>
          <w:b/>
          <w:color w:val="000000"/>
          <w:spacing w:val="8"/>
          <w:szCs w:val="21"/>
          <w:highlight w:val="none"/>
          <w:u w:val="single"/>
        </w:rPr>
        <w:t xml:space="preserve">                                                       </w:t>
      </w:r>
      <w:r>
        <w:rPr>
          <w:rFonts w:hint="eastAsia" w:ascii="宋体" w:hAnsi="宋体"/>
          <w:color w:val="000000"/>
          <w:spacing w:val="8"/>
          <w:szCs w:val="21"/>
          <w:highlight w:val="none"/>
          <w:u w:val="single"/>
        </w:rPr>
        <w:t xml:space="preserve">                    </w:t>
      </w:r>
    </w:p>
    <w:p>
      <w:pPr>
        <w:spacing w:line="360" w:lineRule="auto"/>
        <w:ind w:left="-178" w:leftChars="-85" w:firstLine="176" w:firstLineChars="78"/>
        <w:rPr>
          <w:rFonts w:ascii="宋体" w:hAnsi="宋体"/>
          <w:color w:val="000000"/>
          <w:spacing w:val="8"/>
          <w:szCs w:val="21"/>
          <w:highlight w:val="none"/>
          <w:u w:val="single"/>
        </w:rPr>
      </w:pPr>
      <w:r>
        <w:rPr>
          <w:rFonts w:hint="eastAsia" w:ascii="宋体" w:hAnsi="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p>
    <w:p>
      <w:pPr>
        <w:tabs>
          <w:tab w:val="left" w:pos="3640"/>
        </w:tabs>
        <w:autoSpaceDE w:val="0"/>
        <w:autoSpaceDN w:val="0"/>
        <w:spacing w:line="360" w:lineRule="auto"/>
        <w:ind w:firstLine="420" w:firstLineChars="200"/>
        <w:rPr>
          <w:rFonts w:ascii="宋体" w:hAnsi="宋体" w:cs="宋体"/>
          <w:color w:val="000000"/>
          <w:szCs w:val="21"/>
          <w:highlight w:val="none"/>
        </w:rPr>
      </w:pP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 xml:space="preserve">买  方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卖   方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采购人（单位盖章）：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成交人（单位盖章）：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法定代表人</w:t>
      </w:r>
      <w:r>
        <w:rPr>
          <w:rFonts w:ascii="宋体" w:hAnsi="宋体" w:cs="宋体"/>
          <w:color w:val="000000"/>
          <w:szCs w:val="21"/>
          <w:highlight w:val="none"/>
        </w:rPr>
        <w:t xml:space="preserve">                                 </w:t>
      </w:r>
      <w:r>
        <w:rPr>
          <w:rFonts w:hint="eastAsia" w:ascii="宋体" w:hAnsi="宋体" w:cs="宋体"/>
          <w:color w:val="000000"/>
          <w:szCs w:val="21"/>
          <w:highlight w:val="none"/>
        </w:rPr>
        <w:t>法定代表人</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widowControl/>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r>
        <w:rPr>
          <w:rFonts w:ascii="宋体" w:hAnsi="宋体" w:cs="宋体"/>
          <w:color w:val="000000"/>
          <w:szCs w:val="21"/>
          <w:highlight w:val="none"/>
        </w:rPr>
        <w:br w:type="page"/>
      </w:r>
    </w:p>
    <w:p>
      <w:pPr>
        <w:pStyle w:val="3"/>
        <w:rPr>
          <w:rFonts w:ascii="宋体" w:hAnsi="宋体" w:cs="宋体"/>
          <w:color w:val="000000"/>
          <w:highlight w:val="none"/>
        </w:rPr>
      </w:pPr>
      <w:bookmarkStart w:id="86" w:name="_Toc17160"/>
      <w:bookmarkStart w:id="87" w:name="_Toc54939200"/>
      <w:r>
        <w:rPr>
          <w:rFonts w:hint="eastAsia" w:ascii="宋体" w:hAnsi="宋体" w:cs="宋体"/>
          <w:color w:val="000000"/>
          <w:highlight w:val="none"/>
        </w:rPr>
        <w:t>第五章   谈判响应文件格式</w:t>
      </w:r>
      <w:bookmarkEnd w:id="85"/>
      <w:bookmarkEnd w:id="86"/>
      <w:bookmarkEnd w:id="87"/>
    </w:p>
    <w:p>
      <w:pPr>
        <w:spacing w:line="360" w:lineRule="auto"/>
        <w:jc w:val="center"/>
        <w:rPr>
          <w:rFonts w:ascii="宋体" w:hAnsi="宋体" w:cs="宋体"/>
          <w:b/>
          <w:color w:val="000000"/>
          <w:spacing w:val="20"/>
          <w:sz w:val="36"/>
          <w:szCs w:val="36"/>
          <w:highlight w:val="none"/>
          <w:u w:val="single"/>
        </w:rPr>
      </w:pPr>
    </w:p>
    <w:p>
      <w:pPr>
        <w:spacing w:line="360" w:lineRule="auto"/>
        <w:jc w:val="center"/>
        <w:rPr>
          <w:rFonts w:ascii="宋体" w:hAnsi="宋体" w:cs="宋体"/>
          <w:b/>
          <w:color w:val="000000"/>
          <w:spacing w:val="20"/>
          <w:sz w:val="36"/>
          <w:szCs w:val="36"/>
          <w:highlight w:val="none"/>
        </w:rPr>
      </w:pPr>
      <w:r>
        <w:rPr>
          <w:rFonts w:hint="eastAsia" w:ascii="宋体" w:hAnsi="宋体" w:cs="宋体"/>
          <w:b/>
          <w:color w:val="000000"/>
          <w:spacing w:val="20"/>
          <w:sz w:val="36"/>
          <w:szCs w:val="36"/>
          <w:highlight w:val="none"/>
          <w:u w:val="single"/>
        </w:rPr>
        <w:t xml:space="preserve">                              </w:t>
      </w:r>
      <w:r>
        <w:rPr>
          <w:rFonts w:hint="eastAsia" w:ascii="宋体" w:hAnsi="宋体" w:cs="宋体"/>
          <w:b/>
          <w:color w:val="000000"/>
          <w:spacing w:val="20"/>
          <w:sz w:val="36"/>
          <w:szCs w:val="36"/>
          <w:highlight w:val="none"/>
        </w:rPr>
        <w:t>采购</w:t>
      </w:r>
    </w:p>
    <w:p>
      <w:pPr>
        <w:spacing w:line="360" w:lineRule="auto"/>
        <w:rPr>
          <w:rFonts w:ascii="宋体" w:hAnsi="宋体" w:cs="宋体"/>
          <w:color w:val="000000"/>
          <w:sz w:val="24"/>
          <w:highlight w:val="none"/>
        </w:rPr>
      </w:pPr>
    </w:p>
    <w:p>
      <w:pPr>
        <w:spacing w:line="360" w:lineRule="auto"/>
        <w:rPr>
          <w:rFonts w:ascii="宋体" w:hAnsi="宋体" w:cs="宋体"/>
          <w:color w:val="000000"/>
          <w:sz w:val="24"/>
          <w:highlight w:val="none"/>
        </w:rPr>
      </w:pPr>
    </w:p>
    <w:p>
      <w:pPr>
        <w:spacing w:line="800" w:lineRule="exact"/>
        <w:jc w:val="center"/>
        <w:rPr>
          <w:rFonts w:ascii="宋体" w:hAnsi="宋体" w:cs="宋体"/>
          <w:b/>
          <w:color w:val="000000"/>
          <w:sz w:val="72"/>
          <w:szCs w:val="72"/>
          <w:highlight w:val="none"/>
        </w:rPr>
      </w:pPr>
      <w:r>
        <w:rPr>
          <w:rFonts w:hint="eastAsia" w:ascii="宋体" w:hAnsi="宋体" w:cs="宋体"/>
          <w:b/>
          <w:color w:val="000000"/>
          <w:sz w:val="72"/>
          <w:szCs w:val="72"/>
          <w:highlight w:val="none"/>
        </w:rPr>
        <w:t>谈</w:t>
      </w:r>
    </w:p>
    <w:p>
      <w:pPr>
        <w:spacing w:line="800" w:lineRule="exact"/>
        <w:jc w:val="center"/>
        <w:rPr>
          <w:rFonts w:ascii="宋体" w:hAnsi="宋体" w:cs="宋体"/>
          <w:b/>
          <w:color w:val="000000"/>
          <w:sz w:val="72"/>
          <w:szCs w:val="72"/>
          <w:highlight w:val="none"/>
        </w:rPr>
      </w:pPr>
      <w:r>
        <w:rPr>
          <w:rFonts w:hint="eastAsia" w:ascii="宋体" w:hAnsi="宋体" w:cs="宋体"/>
          <w:b/>
          <w:color w:val="000000"/>
          <w:sz w:val="72"/>
          <w:szCs w:val="72"/>
          <w:highlight w:val="none"/>
        </w:rPr>
        <w:t>判</w:t>
      </w:r>
    </w:p>
    <w:p>
      <w:pPr>
        <w:spacing w:line="800" w:lineRule="exact"/>
        <w:jc w:val="center"/>
        <w:rPr>
          <w:rFonts w:ascii="宋体" w:hAnsi="宋体" w:cs="宋体"/>
          <w:b/>
          <w:color w:val="000000"/>
          <w:sz w:val="72"/>
          <w:szCs w:val="72"/>
          <w:highlight w:val="none"/>
        </w:rPr>
      </w:pPr>
      <w:r>
        <w:rPr>
          <w:rFonts w:hint="eastAsia" w:ascii="宋体" w:hAnsi="宋体" w:cs="宋体"/>
          <w:b/>
          <w:color w:val="000000"/>
          <w:sz w:val="72"/>
          <w:szCs w:val="72"/>
          <w:highlight w:val="none"/>
        </w:rPr>
        <w:t>响</w:t>
      </w:r>
    </w:p>
    <w:p>
      <w:pPr>
        <w:spacing w:line="800" w:lineRule="exact"/>
        <w:jc w:val="center"/>
        <w:rPr>
          <w:rFonts w:ascii="宋体" w:hAnsi="宋体" w:cs="宋体"/>
          <w:b/>
          <w:color w:val="000000"/>
          <w:sz w:val="72"/>
          <w:szCs w:val="72"/>
          <w:highlight w:val="none"/>
        </w:rPr>
      </w:pPr>
      <w:r>
        <w:rPr>
          <w:rFonts w:hint="eastAsia" w:ascii="宋体" w:hAnsi="宋体" w:cs="宋体"/>
          <w:b/>
          <w:color w:val="000000"/>
          <w:sz w:val="72"/>
          <w:szCs w:val="72"/>
          <w:highlight w:val="none"/>
        </w:rPr>
        <w:t>应</w:t>
      </w:r>
    </w:p>
    <w:p>
      <w:pPr>
        <w:spacing w:line="800" w:lineRule="exact"/>
        <w:jc w:val="center"/>
        <w:rPr>
          <w:rFonts w:ascii="宋体" w:hAnsi="宋体" w:cs="宋体"/>
          <w:b/>
          <w:color w:val="000000"/>
          <w:sz w:val="72"/>
          <w:szCs w:val="72"/>
          <w:highlight w:val="none"/>
        </w:rPr>
      </w:pPr>
      <w:r>
        <w:rPr>
          <w:rFonts w:hint="eastAsia" w:ascii="宋体" w:hAnsi="宋体" w:cs="宋体"/>
          <w:b/>
          <w:color w:val="000000"/>
          <w:sz w:val="72"/>
          <w:szCs w:val="72"/>
          <w:highlight w:val="none"/>
        </w:rPr>
        <w:t>文</w:t>
      </w:r>
    </w:p>
    <w:p>
      <w:pPr>
        <w:spacing w:line="360" w:lineRule="auto"/>
        <w:jc w:val="center"/>
        <w:rPr>
          <w:rFonts w:ascii="宋体" w:hAnsi="宋体" w:cs="宋体"/>
          <w:color w:val="000000"/>
          <w:sz w:val="24"/>
          <w:highlight w:val="none"/>
        </w:rPr>
      </w:pPr>
      <w:r>
        <w:rPr>
          <w:rFonts w:hint="eastAsia" w:ascii="宋体" w:hAnsi="宋体" w:cs="宋体"/>
          <w:b/>
          <w:color w:val="000000"/>
          <w:sz w:val="72"/>
          <w:szCs w:val="72"/>
          <w:highlight w:val="none"/>
        </w:rPr>
        <w:t>件</w:t>
      </w:r>
    </w:p>
    <w:p>
      <w:pPr>
        <w:spacing w:line="360" w:lineRule="auto"/>
        <w:ind w:firstLine="148" w:firstLineChars="49"/>
        <w:rPr>
          <w:rFonts w:ascii="宋体"/>
          <w:b/>
          <w:sz w:val="30"/>
          <w:szCs w:val="30"/>
          <w:highlight w:val="none"/>
        </w:rPr>
      </w:pPr>
      <w:r>
        <w:rPr>
          <w:rFonts w:hint="eastAsia" w:ascii="宋体" w:hAnsi="宋体"/>
          <w:b/>
          <w:sz w:val="30"/>
          <w:szCs w:val="30"/>
          <w:highlight w:val="none"/>
        </w:rPr>
        <w:t>采购人名称：</w:t>
      </w:r>
      <w:r>
        <w:rPr>
          <w:rFonts w:ascii="宋体" w:hAnsi="宋体"/>
          <w:b/>
          <w:sz w:val="30"/>
          <w:szCs w:val="30"/>
          <w:highlight w:val="none"/>
        </w:rPr>
        <w:t xml:space="preserve"> </w:t>
      </w:r>
      <w:r>
        <w:rPr>
          <w:rFonts w:ascii="宋体" w:hAnsi="宋体"/>
          <w:b/>
          <w:sz w:val="30"/>
          <w:szCs w:val="30"/>
          <w:highlight w:val="none"/>
          <w:u w:val="single"/>
        </w:rPr>
        <w:t xml:space="preserve">                                             </w:t>
      </w:r>
    </w:p>
    <w:p>
      <w:pPr>
        <w:spacing w:line="360" w:lineRule="auto"/>
        <w:ind w:firstLine="148" w:firstLineChars="49"/>
        <w:rPr>
          <w:rFonts w:ascii="宋体" w:hAnsi="宋体"/>
          <w:b/>
          <w:sz w:val="30"/>
          <w:szCs w:val="30"/>
          <w:highlight w:val="none"/>
        </w:rPr>
      </w:pPr>
    </w:p>
    <w:p>
      <w:pPr>
        <w:spacing w:line="360" w:lineRule="auto"/>
        <w:ind w:firstLine="148" w:firstLineChars="49"/>
        <w:rPr>
          <w:rFonts w:ascii="宋体"/>
          <w:b/>
          <w:sz w:val="30"/>
          <w:szCs w:val="30"/>
          <w:highlight w:val="none"/>
        </w:rPr>
      </w:pPr>
      <w:r>
        <w:rPr>
          <w:rFonts w:hint="eastAsia" w:ascii="宋体" w:hAnsi="宋体"/>
          <w:b/>
          <w:sz w:val="30"/>
          <w:szCs w:val="30"/>
          <w:highlight w:val="none"/>
        </w:rPr>
        <w:t>供应商名称：</w:t>
      </w:r>
      <w:r>
        <w:rPr>
          <w:rFonts w:ascii="宋体" w:hAnsi="宋体"/>
          <w:b/>
          <w:sz w:val="30"/>
          <w:szCs w:val="30"/>
          <w:highlight w:val="non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（加盖公章）</w:t>
      </w:r>
      <w:r>
        <w:rPr>
          <w:rFonts w:ascii="宋体" w:hAnsi="宋体"/>
          <w:b/>
          <w:sz w:val="30"/>
          <w:szCs w:val="30"/>
          <w:highlight w:val="none"/>
          <w:u w:val="single"/>
        </w:rPr>
        <w:t xml:space="preserve"> </w:t>
      </w:r>
    </w:p>
    <w:p>
      <w:pPr>
        <w:spacing w:line="360" w:lineRule="auto"/>
        <w:ind w:firstLine="148" w:firstLineChars="49"/>
        <w:jc w:val="left"/>
        <w:rPr>
          <w:rFonts w:ascii="宋体" w:hAnsi="宋体" w:cs="宋体"/>
          <w:b/>
          <w:sz w:val="30"/>
          <w:szCs w:val="30"/>
          <w:highlight w:val="none"/>
        </w:rPr>
      </w:pPr>
    </w:p>
    <w:p>
      <w:pPr>
        <w:spacing w:line="360" w:lineRule="auto"/>
        <w:ind w:firstLine="148" w:firstLineChars="49"/>
        <w:jc w:val="left"/>
        <w:rPr>
          <w:rFonts w:ascii="宋体" w:hAnsi="宋体" w:cs="宋体"/>
          <w:b/>
          <w:sz w:val="30"/>
          <w:szCs w:val="30"/>
          <w:highlight w:val="none"/>
        </w:rPr>
      </w:pPr>
      <w:r>
        <w:rPr>
          <w:rFonts w:hint="eastAsia" w:ascii="宋体" w:hAnsi="宋体" w:cs="宋体"/>
          <w:b/>
          <w:sz w:val="30"/>
          <w:szCs w:val="30"/>
          <w:highlight w:val="none"/>
        </w:rPr>
        <w:t>法定代表人或委托代理人：</w:t>
      </w:r>
      <w:r>
        <w:rPr>
          <w:rFonts w:hint="eastAsia" w:ascii="宋体" w:hAnsi="宋体" w:cs="宋体"/>
          <w:b/>
          <w:sz w:val="30"/>
          <w:szCs w:val="30"/>
          <w:highlight w:val="none"/>
          <w:u w:val="single"/>
        </w:rPr>
        <w:t xml:space="preserve">                     (签字或盖章) </w:t>
      </w:r>
    </w:p>
    <w:p>
      <w:pPr>
        <w:spacing w:line="360" w:lineRule="auto"/>
        <w:rPr>
          <w:rFonts w:ascii="仿宋_GB2312" w:eastAsia="仿宋_GB2312"/>
          <w:sz w:val="30"/>
          <w:szCs w:val="30"/>
          <w:highlight w:val="none"/>
        </w:rPr>
      </w:pPr>
    </w:p>
    <w:p>
      <w:pPr>
        <w:spacing w:line="480" w:lineRule="exact"/>
        <w:jc w:val="center"/>
        <w:rPr>
          <w:rFonts w:ascii="宋体" w:hAnsi="宋体"/>
          <w:b/>
          <w:sz w:val="30"/>
          <w:szCs w:val="30"/>
          <w:highlight w:val="none"/>
        </w:rPr>
      </w:pPr>
      <w:r>
        <w:rPr>
          <w:rFonts w:hint="eastAsia" w:ascii="宋体" w:hAnsi="宋体"/>
          <w:b/>
          <w:sz w:val="30"/>
          <w:szCs w:val="30"/>
          <w:highlight w:val="none"/>
        </w:rPr>
        <w:t>日期：</w:t>
      </w:r>
      <w:r>
        <w:rPr>
          <w:rFonts w:ascii="宋体" w:hAnsi="宋体"/>
          <w:b/>
          <w:sz w:val="30"/>
          <w:szCs w:val="30"/>
          <w:highlight w:val="none"/>
          <w:u w:val="single"/>
        </w:rPr>
        <w:t xml:space="preserve">    </w:t>
      </w:r>
      <w:r>
        <w:rPr>
          <w:rFonts w:hint="eastAsia" w:ascii="宋体" w:hAnsi="宋体"/>
          <w:b/>
          <w:sz w:val="30"/>
          <w:szCs w:val="30"/>
          <w:highlight w:val="none"/>
        </w:rPr>
        <w:t>年</w:t>
      </w:r>
      <w:r>
        <w:rPr>
          <w:rFonts w:ascii="宋体" w:hAnsi="宋体"/>
          <w:b/>
          <w:sz w:val="30"/>
          <w:szCs w:val="30"/>
          <w:highlight w:val="none"/>
          <w:u w:val="single"/>
        </w:rPr>
        <w:t xml:space="preserve">     </w:t>
      </w:r>
      <w:r>
        <w:rPr>
          <w:rFonts w:hint="eastAsia" w:ascii="宋体" w:hAnsi="宋体"/>
          <w:b/>
          <w:sz w:val="30"/>
          <w:szCs w:val="30"/>
          <w:highlight w:val="none"/>
        </w:rPr>
        <w:t>月</w:t>
      </w:r>
      <w:r>
        <w:rPr>
          <w:rFonts w:ascii="宋体" w:hAnsi="宋体"/>
          <w:b/>
          <w:sz w:val="30"/>
          <w:szCs w:val="30"/>
          <w:highlight w:val="none"/>
          <w:u w:val="single"/>
        </w:rPr>
        <w:t xml:space="preserve">    </w:t>
      </w:r>
      <w:r>
        <w:rPr>
          <w:rFonts w:hint="eastAsia" w:ascii="宋体" w:hAnsi="宋体"/>
          <w:b/>
          <w:sz w:val="30"/>
          <w:szCs w:val="30"/>
          <w:highlight w:val="none"/>
        </w:rPr>
        <w:t>日</w:t>
      </w:r>
    </w:p>
    <w:p>
      <w:pPr>
        <w:widowControl/>
        <w:jc w:val="left"/>
        <w:rPr>
          <w:rFonts w:ascii="宋体" w:hAnsi="宋体" w:cs="宋体"/>
          <w:b/>
          <w:color w:val="000000"/>
          <w:sz w:val="30"/>
          <w:szCs w:val="30"/>
          <w:highlight w:val="none"/>
        </w:rPr>
      </w:pPr>
      <w:r>
        <w:rPr>
          <w:rFonts w:ascii="宋体" w:hAnsi="宋体" w:cs="宋体"/>
          <w:b/>
          <w:color w:val="000000"/>
          <w:sz w:val="30"/>
          <w:szCs w:val="30"/>
          <w:highlight w:val="none"/>
        </w:rPr>
        <w:br w:type="page"/>
      </w:r>
    </w:p>
    <w:p>
      <w:pPr>
        <w:jc w:val="center"/>
        <w:rPr>
          <w:rFonts w:ascii="宋体" w:hAnsi="宋体" w:cs="宋体"/>
          <w:b/>
          <w:color w:val="000000"/>
          <w:sz w:val="30"/>
          <w:szCs w:val="30"/>
          <w:highlight w:val="none"/>
        </w:rPr>
      </w:pPr>
      <w:r>
        <w:rPr>
          <w:rFonts w:hint="eastAsia" w:ascii="宋体" w:hAnsi="宋体" w:cs="宋体"/>
          <w:b/>
          <w:color w:val="000000"/>
          <w:sz w:val="30"/>
          <w:szCs w:val="30"/>
          <w:highlight w:val="none"/>
        </w:rPr>
        <w:t>目 录</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一、谈判响应函</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二、服务报价表（首轮）、最终报价表</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三、服务内容及质量要求响应表</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四、服务方案</w:t>
      </w:r>
    </w:p>
    <w:p>
      <w:pPr>
        <w:spacing w:line="480" w:lineRule="auto"/>
        <w:ind w:firstLine="480" w:firstLineChars="200"/>
        <w:rPr>
          <w:rFonts w:ascii="宋体" w:hAnsi="宋体" w:cs="宋体"/>
          <w:sz w:val="24"/>
          <w:highlight w:val="none"/>
        </w:rPr>
      </w:pPr>
      <w:r>
        <w:rPr>
          <w:rFonts w:hint="eastAsia" w:ascii="宋体" w:hAnsi="宋体" w:cs="宋体"/>
          <w:sz w:val="24"/>
          <w:highlight w:val="none"/>
        </w:rPr>
        <w:t>五、诚信谈判响应承诺书</w:t>
      </w:r>
    </w:p>
    <w:p>
      <w:pPr>
        <w:spacing w:line="480" w:lineRule="auto"/>
        <w:ind w:firstLine="480" w:firstLineChars="200"/>
        <w:rPr>
          <w:rFonts w:ascii="宋体" w:hAnsi="宋体" w:cs="宋体"/>
          <w:color w:val="000000"/>
          <w:sz w:val="24"/>
          <w:highlight w:val="none"/>
        </w:rPr>
      </w:pPr>
      <w:r>
        <w:rPr>
          <w:rFonts w:hint="eastAsia" w:ascii="宋体" w:hAnsi="宋体" w:cs="宋体"/>
          <w:color w:val="000000"/>
          <w:sz w:val="24"/>
          <w:highlight w:val="none"/>
          <w:lang w:val="en-US" w:eastAsia="zh-CN"/>
        </w:rPr>
        <w:t>六</w:t>
      </w:r>
      <w:r>
        <w:rPr>
          <w:rFonts w:hint="eastAsia" w:ascii="宋体" w:hAnsi="宋体" w:cs="宋体"/>
          <w:color w:val="000000"/>
          <w:sz w:val="24"/>
          <w:highlight w:val="none"/>
        </w:rPr>
        <w:t>、谈判证明材料</w:t>
      </w:r>
    </w:p>
    <w:p>
      <w:pPr>
        <w:widowControl/>
        <w:jc w:val="left"/>
        <w:rPr>
          <w:rFonts w:ascii="宋体" w:hAnsi="宋体" w:cs="宋体"/>
          <w:color w:val="000000"/>
          <w:sz w:val="24"/>
          <w:highlight w:val="none"/>
        </w:rPr>
      </w:pPr>
      <w:r>
        <w:rPr>
          <w:rFonts w:ascii="宋体" w:hAnsi="宋体" w:cs="宋体"/>
          <w:color w:val="000000"/>
          <w:sz w:val="24"/>
          <w:highlight w:val="none"/>
        </w:rPr>
        <w:br w:type="page"/>
      </w:r>
    </w:p>
    <w:p>
      <w:pPr>
        <w:pStyle w:val="6"/>
        <w:jc w:val="center"/>
        <w:rPr>
          <w:rFonts w:hAnsi="宋体" w:cs="宋体"/>
          <w:color w:val="000000"/>
          <w:highlight w:val="none"/>
        </w:rPr>
      </w:pPr>
      <w:bookmarkStart w:id="88" w:name="_Toc54939201"/>
      <w:bookmarkStart w:id="89" w:name="_Toc13905"/>
      <w:r>
        <w:rPr>
          <w:rFonts w:hint="eastAsia" w:hAnsi="宋体" w:cs="宋体"/>
          <w:color w:val="000000"/>
          <w:highlight w:val="none"/>
        </w:rPr>
        <w:t>一、谈判响应函</w:t>
      </w:r>
      <w:bookmarkEnd w:id="88"/>
      <w:bookmarkEnd w:id="89"/>
    </w:p>
    <w:p>
      <w:pPr>
        <w:tabs>
          <w:tab w:val="left" w:pos="5580"/>
        </w:tabs>
        <w:spacing w:before="120" w:line="360" w:lineRule="auto"/>
        <w:rPr>
          <w:rFonts w:ascii="宋体" w:hAnsi="宋体" w:cs="宋体"/>
          <w:color w:val="000000"/>
          <w:szCs w:val="21"/>
          <w:highlight w:val="none"/>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（采购人名称）</w:t>
      </w:r>
    </w:p>
    <w:p>
      <w:pPr>
        <w:pStyle w:val="13"/>
        <w:tabs>
          <w:tab w:val="left" w:pos="5580"/>
        </w:tabs>
        <w:spacing w:line="360" w:lineRule="auto"/>
        <w:ind w:firstLine="420" w:firstLineChars="200"/>
        <w:rPr>
          <w:rFonts w:hAnsi="宋体" w:cs="宋体"/>
          <w:color w:val="000000"/>
          <w:szCs w:val="21"/>
          <w:highlight w:val="none"/>
        </w:rPr>
      </w:pPr>
      <w:r>
        <w:rPr>
          <w:rFonts w:hint="eastAsia" w:hAnsi="宋体" w:cs="宋体"/>
          <w:color w:val="000000"/>
          <w:szCs w:val="21"/>
          <w:highlight w:val="none"/>
        </w:rPr>
        <w:t>1、根据贵方</w:t>
      </w:r>
      <w:r>
        <w:rPr>
          <w:rFonts w:hint="eastAsia" w:hAnsi="宋体" w:cs="宋体"/>
          <w:color w:val="000000"/>
          <w:szCs w:val="21"/>
          <w:highlight w:val="none"/>
          <w:u w:val="single"/>
        </w:rPr>
        <w:t xml:space="preserve">       </w:t>
      </w:r>
      <w:r>
        <w:rPr>
          <w:rFonts w:hint="eastAsia" w:hAnsi="宋体" w:cs="宋体"/>
          <w:color w:val="000000"/>
          <w:szCs w:val="21"/>
          <w:highlight w:val="none"/>
        </w:rPr>
        <w:t>号竞争性谈判公告，我方决定参加贵方组织的</w:t>
      </w:r>
      <w:r>
        <w:rPr>
          <w:rFonts w:hint="eastAsia" w:hAnsi="宋体" w:cs="宋体"/>
          <w:color w:val="000000"/>
          <w:szCs w:val="21"/>
          <w:highlight w:val="none"/>
          <w:u w:val="single"/>
        </w:rPr>
        <w:t xml:space="preserve">                       </w:t>
      </w:r>
      <w:r>
        <w:rPr>
          <w:rFonts w:hint="eastAsia" w:hAnsi="宋体" w:cs="宋体"/>
          <w:color w:val="000000"/>
          <w:szCs w:val="21"/>
          <w:highlight w:val="none"/>
        </w:rPr>
        <w:t>项目的采购活动。我方授权</w:t>
      </w:r>
      <w:r>
        <w:rPr>
          <w:rFonts w:hint="eastAsia" w:hAnsi="宋体" w:cs="宋体"/>
          <w:color w:val="000000"/>
          <w:szCs w:val="21"/>
          <w:highlight w:val="none"/>
          <w:u w:val="single"/>
        </w:rPr>
        <w:t xml:space="preserve">        </w:t>
      </w:r>
      <w:r>
        <w:rPr>
          <w:rFonts w:hint="eastAsia" w:hAnsi="宋体" w:cs="宋体"/>
          <w:color w:val="000000"/>
          <w:szCs w:val="21"/>
          <w:highlight w:val="none"/>
        </w:rPr>
        <w:t>(姓名和职务)代表我方</w:t>
      </w:r>
      <w:r>
        <w:rPr>
          <w:rFonts w:hint="eastAsia" w:hAnsi="宋体" w:cs="宋体"/>
          <w:color w:val="000000"/>
          <w:szCs w:val="21"/>
          <w:highlight w:val="none"/>
          <w:u w:val="single"/>
        </w:rPr>
        <w:t xml:space="preserve">                    </w:t>
      </w:r>
      <w:r>
        <w:rPr>
          <w:rFonts w:hint="eastAsia" w:hAnsi="宋体" w:cs="宋体"/>
          <w:color w:val="000000"/>
          <w:szCs w:val="21"/>
          <w:highlight w:val="none"/>
        </w:rPr>
        <w:t>（谈判响应人的名称）全权处理本项目谈判响应的有关事宜。</w:t>
      </w:r>
    </w:p>
    <w:p>
      <w:pPr>
        <w:pStyle w:val="13"/>
        <w:tabs>
          <w:tab w:val="left" w:pos="5580"/>
        </w:tabs>
        <w:spacing w:line="360" w:lineRule="auto"/>
        <w:ind w:firstLine="420" w:firstLineChars="200"/>
        <w:rPr>
          <w:rFonts w:hAnsi="宋体" w:cs="宋体"/>
          <w:b/>
          <w:bCs/>
          <w:color w:val="000000"/>
          <w:szCs w:val="21"/>
          <w:highlight w:val="none"/>
        </w:rPr>
      </w:pPr>
      <w:r>
        <w:rPr>
          <w:rFonts w:hint="eastAsia" w:hAnsi="宋体" w:cs="宋体"/>
          <w:color w:val="000000"/>
          <w:szCs w:val="21"/>
          <w:highlight w:val="none"/>
        </w:rPr>
        <w:t>2、我方愿意按照竞争性谈判文件约定的各项要求，向采购人提供所需的服务</w:t>
      </w:r>
      <w:r>
        <w:rPr>
          <w:rFonts w:hint="eastAsia" w:hAnsi="宋体" w:cs="宋体"/>
          <w:color w:val="000000"/>
          <w:szCs w:val="21"/>
          <w:highlight w:val="none"/>
          <w:lang w:val="en-US" w:eastAsia="zh-CN"/>
        </w:rPr>
        <w:t>和货物</w:t>
      </w:r>
      <w:r>
        <w:rPr>
          <w:rFonts w:hint="eastAsia" w:hAnsi="宋体" w:cs="宋体"/>
          <w:color w:val="000000"/>
          <w:szCs w:val="21"/>
          <w:highlight w:val="none"/>
        </w:rPr>
        <w:t>，</w:t>
      </w:r>
      <w:r>
        <w:rPr>
          <w:rFonts w:hint="eastAsia" w:hAnsi="宋体" w:cs="宋体"/>
          <w:b/>
          <w:bCs/>
          <w:color w:val="000000"/>
          <w:szCs w:val="21"/>
          <w:highlight w:val="none"/>
        </w:rPr>
        <w:t>报价为人民币（大写）</w:t>
      </w:r>
      <w:r>
        <w:rPr>
          <w:rFonts w:hint="eastAsia" w:hAnsi="宋体" w:cs="宋体"/>
          <w:b/>
          <w:bCs/>
          <w:color w:val="000000"/>
          <w:szCs w:val="21"/>
          <w:highlight w:val="none"/>
          <w:u w:val="single"/>
        </w:rPr>
        <w:t xml:space="preserve">                     </w:t>
      </w:r>
      <w:r>
        <w:rPr>
          <w:rFonts w:hint="eastAsia" w:hAnsi="宋体" w:cs="宋体"/>
          <w:b/>
          <w:bCs/>
          <w:color w:val="000000"/>
          <w:szCs w:val="21"/>
          <w:highlight w:val="none"/>
          <w:u w:val="none"/>
          <w:lang w:val="en-US" w:eastAsia="zh-CN"/>
        </w:rPr>
        <w:t xml:space="preserve">   </w:t>
      </w:r>
      <w:r>
        <w:rPr>
          <w:rFonts w:hint="eastAsia" w:hAnsi="宋体" w:cs="宋体"/>
          <w:b/>
          <w:bCs/>
          <w:color w:val="000000"/>
          <w:szCs w:val="21"/>
          <w:highlight w:val="none"/>
        </w:rPr>
        <w:t>(小写)</w:t>
      </w:r>
      <w:r>
        <w:rPr>
          <w:rFonts w:hint="eastAsia" w:hAnsi="宋体" w:cs="宋体"/>
          <w:b/>
          <w:bCs/>
          <w:color w:val="000000"/>
          <w:szCs w:val="21"/>
          <w:highlight w:val="none"/>
          <w:u w:val="single"/>
        </w:rPr>
        <w:t xml:space="preserve">                  元</w:t>
      </w:r>
      <w:r>
        <w:rPr>
          <w:rFonts w:hint="eastAsia" w:hAnsi="宋体" w:cs="宋体"/>
          <w:b/>
          <w:bCs/>
          <w:color w:val="000000"/>
          <w:szCs w:val="21"/>
          <w:highlight w:val="none"/>
        </w:rPr>
        <w:t>。</w:t>
      </w:r>
    </w:p>
    <w:p>
      <w:pPr>
        <w:pStyle w:val="13"/>
        <w:tabs>
          <w:tab w:val="left" w:pos="5580"/>
        </w:tabs>
        <w:spacing w:line="360" w:lineRule="auto"/>
        <w:ind w:firstLine="420" w:firstLineChars="200"/>
        <w:rPr>
          <w:rFonts w:hint="eastAsia" w:hAnsi="宋体" w:cs="宋体"/>
          <w:b/>
          <w:bCs/>
          <w:color w:val="000000"/>
          <w:szCs w:val="21"/>
          <w:highlight w:val="none"/>
          <w:u w:val="single"/>
        </w:rPr>
      </w:pPr>
      <w:r>
        <w:rPr>
          <w:rFonts w:hint="eastAsia" w:hAnsi="宋体" w:cs="宋体"/>
          <w:color w:val="000000"/>
          <w:szCs w:val="21"/>
          <w:highlight w:val="none"/>
        </w:rPr>
        <w:t>3、</w:t>
      </w:r>
      <w:r>
        <w:rPr>
          <w:rFonts w:hint="eastAsia" w:hAnsi="宋体" w:cs="宋体"/>
          <w:szCs w:val="21"/>
          <w:highlight w:val="none"/>
        </w:rPr>
        <w:t>一旦我方成交，我方将严格履行合同约定的责任和义务，</w:t>
      </w:r>
      <w:r>
        <w:rPr>
          <w:rFonts w:hint="eastAsia" w:hAnsi="宋体"/>
          <w:szCs w:val="21"/>
          <w:highlight w:val="none"/>
        </w:rPr>
        <w:t>保证该项目的服务期为</w:t>
      </w:r>
      <w:r>
        <w:rPr>
          <w:rFonts w:hint="eastAsia" w:hAnsi="宋体"/>
          <w:b/>
          <w:bCs/>
          <w:szCs w:val="21"/>
          <w:highlight w:val="none"/>
        </w:rPr>
        <w:t xml:space="preserve"> </w:t>
      </w:r>
      <w:r>
        <w:rPr>
          <w:rFonts w:hint="eastAsia" w:hAnsi="宋体"/>
          <w:b/>
          <w:bCs/>
          <w:szCs w:val="21"/>
          <w:highlight w:val="none"/>
          <w:u w:val="single"/>
        </w:rPr>
        <w:t>自合同签订之日起两个月完成。</w:t>
      </w:r>
    </w:p>
    <w:p>
      <w:pPr>
        <w:pStyle w:val="13"/>
        <w:tabs>
          <w:tab w:val="left" w:pos="5580"/>
        </w:tabs>
        <w:spacing w:line="360" w:lineRule="auto"/>
        <w:ind w:firstLine="417" w:firstLineChars="199"/>
        <w:rPr>
          <w:rFonts w:hAnsi="宋体" w:cs="宋体"/>
          <w:color w:val="000000"/>
          <w:szCs w:val="21"/>
          <w:highlight w:val="none"/>
        </w:rPr>
      </w:pPr>
      <w:r>
        <w:rPr>
          <w:rFonts w:hint="eastAsia" w:hAnsi="宋体" w:cs="宋体"/>
          <w:color w:val="000000"/>
          <w:szCs w:val="21"/>
          <w:highlight w:val="none"/>
          <w:lang w:val="en-US" w:eastAsia="zh-CN"/>
        </w:rPr>
        <w:t>4</w:t>
      </w:r>
      <w:r>
        <w:rPr>
          <w:rFonts w:hint="eastAsia" w:hAnsi="宋体" w:cs="宋体"/>
          <w:color w:val="000000"/>
          <w:szCs w:val="21"/>
          <w:highlight w:val="none"/>
        </w:rPr>
        <w:t>、我方保证按照本项目竞争性谈判文件要求提交谈判响应文件。</w:t>
      </w:r>
    </w:p>
    <w:p>
      <w:pPr>
        <w:pStyle w:val="13"/>
        <w:tabs>
          <w:tab w:val="left" w:pos="5580"/>
        </w:tabs>
        <w:spacing w:line="360" w:lineRule="auto"/>
        <w:ind w:firstLine="417" w:firstLineChars="199"/>
        <w:rPr>
          <w:rFonts w:hint="eastAsia" w:hAnsi="宋体" w:cs="宋体"/>
          <w:color w:val="auto"/>
          <w:szCs w:val="21"/>
          <w:highlight w:val="none"/>
        </w:rPr>
      </w:pPr>
      <w:r>
        <w:rPr>
          <w:rFonts w:hint="eastAsia" w:hAnsi="宋体" w:cs="宋体"/>
          <w:color w:val="auto"/>
          <w:szCs w:val="21"/>
          <w:highlight w:val="none"/>
          <w:lang w:val="en-US" w:eastAsia="zh-CN"/>
        </w:rPr>
        <w:t>5</w:t>
      </w:r>
      <w:r>
        <w:rPr>
          <w:rFonts w:hint="eastAsia" w:hAnsi="宋体" w:cs="宋体"/>
          <w:color w:val="auto"/>
          <w:szCs w:val="21"/>
          <w:highlight w:val="none"/>
        </w:rPr>
        <w:t>、我方愿意提供贵方可能另外要求的、与谈判响应有关的文件资料，并保证我方已提供和将要提供的文件是真实的、准确的。</w:t>
      </w:r>
    </w:p>
    <w:p>
      <w:pPr>
        <w:pStyle w:val="13"/>
        <w:tabs>
          <w:tab w:val="left" w:pos="5580"/>
        </w:tabs>
        <w:spacing w:line="360" w:lineRule="auto"/>
        <w:ind w:firstLine="417" w:firstLineChars="199"/>
        <w:rPr>
          <w:rFonts w:hAnsi="宋体" w:cs="宋体"/>
          <w:color w:val="000000"/>
          <w:szCs w:val="21"/>
          <w:highlight w:val="none"/>
        </w:rPr>
      </w:pPr>
      <w:r>
        <w:rPr>
          <w:rFonts w:hint="eastAsia" w:hAnsi="宋体" w:cs="宋体"/>
          <w:color w:val="000000"/>
          <w:szCs w:val="21"/>
          <w:highlight w:val="none"/>
          <w:lang w:val="en-US" w:eastAsia="zh-CN"/>
        </w:rPr>
        <w:t>6</w:t>
      </w:r>
      <w:r>
        <w:rPr>
          <w:rFonts w:hint="eastAsia" w:hAnsi="宋体" w:cs="宋体"/>
          <w:color w:val="000000"/>
          <w:szCs w:val="21"/>
          <w:highlight w:val="none"/>
        </w:rPr>
        <w:t>、我方愿意提供贵方可能另外要求的、与谈判响应有关的文件资料，并保证我方已提供和将要提供的文件是真实的、准确的。</w:t>
      </w:r>
    </w:p>
    <w:p>
      <w:pPr>
        <w:pStyle w:val="13"/>
        <w:tabs>
          <w:tab w:val="left" w:pos="5580"/>
        </w:tabs>
        <w:spacing w:line="360" w:lineRule="auto"/>
        <w:ind w:firstLine="417" w:firstLineChars="199"/>
        <w:rPr>
          <w:rFonts w:hint="eastAsia" w:hAnsi="宋体" w:cs="宋体"/>
          <w:color w:val="000000"/>
          <w:szCs w:val="21"/>
          <w:highlight w:val="none"/>
        </w:rPr>
      </w:pPr>
      <w:r>
        <w:rPr>
          <w:rFonts w:hint="eastAsia" w:hAnsi="宋体" w:cs="宋体"/>
          <w:color w:val="000000"/>
          <w:szCs w:val="21"/>
          <w:highlight w:val="none"/>
          <w:lang w:val="en-US" w:eastAsia="zh-CN"/>
        </w:rPr>
        <w:t>7</w:t>
      </w:r>
      <w:r>
        <w:rPr>
          <w:rFonts w:hint="eastAsia" w:hAnsi="宋体" w:cs="宋体"/>
          <w:color w:val="000000"/>
          <w:szCs w:val="21"/>
          <w:highlight w:val="none"/>
        </w:rPr>
        <w:t>、我方完全理解贵方不一定将合同授予最低报价的谈判响应人。</w:t>
      </w:r>
    </w:p>
    <w:p>
      <w:pPr>
        <w:pStyle w:val="13"/>
        <w:tabs>
          <w:tab w:val="left" w:pos="5580"/>
        </w:tabs>
        <w:spacing w:line="360" w:lineRule="auto"/>
        <w:ind w:firstLine="417" w:firstLineChars="199"/>
        <w:rPr>
          <w:rFonts w:hint="eastAsia" w:hAnsi="宋体" w:cs="宋体"/>
          <w:color w:val="000000"/>
          <w:szCs w:val="21"/>
          <w:highlight w:val="none"/>
        </w:rPr>
      </w:pPr>
    </w:p>
    <w:p>
      <w:pPr>
        <w:pStyle w:val="13"/>
        <w:tabs>
          <w:tab w:val="left" w:pos="5580"/>
        </w:tabs>
        <w:spacing w:line="360" w:lineRule="auto"/>
        <w:ind w:right="360" w:firstLine="3570" w:firstLineChars="1700"/>
        <w:rPr>
          <w:rFonts w:hAnsi="宋体" w:cs="宋体"/>
          <w:color w:val="000000"/>
          <w:szCs w:val="21"/>
          <w:highlight w:val="none"/>
        </w:rPr>
      </w:pPr>
    </w:p>
    <w:p>
      <w:pPr>
        <w:pStyle w:val="13"/>
        <w:tabs>
          <w:tab w:val="left" w:pos="5580"/>
        </w:tabs>
        <w:spacing w:line="360" w:lineRule="auto"/>
        <w:ind w:right="360" w:firstLine="3570" w:firstLineChars="1700"/>
        <w:jc w:val="right"/>
        <w:rPr>
          <w:rFonts w:hAnsi="宋体" w:cs="宋体"/>
          <w:color w:val="auto"/>
          <w:szCs w:val="21"/>
          <w:highlight w:val="none"/>
          <w:u w:val="single"/>
        </w:rPr>
      </w:pPr>
      <w:r>
        <w:rPr>
          <w:rFonts w:hint="eastAsia" w:hAnsi="宋体" w:cs="宋体"/>
          <w:color w:val="auto"/>
          <w:szCs w:val="21"/>
          <w:highlight w:val="none"/>
        </w:rPr>
        <w:t>谈判响应人：</w:t>
      </w:r>
      <w:r>
        <w:rPr>
          <w:rFonts w:hint="eastAsia" w:hAnsi="宋体" w:cs="宋体"/>
          <w:color w:val="auto"/>
          <w:szCs w:val="21"/>
          <w:highlight w:val="none"/>
          <w:u w:val="single"/>
        </w:rPr>
        <w:t xml:space="preserve">                           （盖章） </w:t>
      </w:r>
    </w:p>
    <w:p>
      <w:pPr>
        <w:pStyle w:val="13"/>
        <w:tabs>
          <w:tab w:val="left" w:pos="5580"/>
        </w:tabs>
        <w:spacing w:line="360" w:lineRule="auto"/>
        <w:ind w:firstLine="420" w:firstLineChars="200"/>
        <w:jc w:val="right"/>
        <w:rPr>
          <w:rFonts w:hint="eastAsia" w:hAnsi="宋体" w:cs="宋体"/>
          <w:color w:val="auto"/>
          <w:szCs w:val="21"/>
          <w:highlight w:val="none"/>
        </w:rPr>
      </w:pPr>
      <w:r>
        <w:rPr>
          <w:rFonts w:hint="eastAsia" w:hAnsi="宋体" w:cs="宋体"/>
          <w:color w:val="auto"/>
          <w:szCs w:val="21"/>
          <w:highlight w:val="none"/>
        </w:rPr>
        <w:t xml:space="preserve">                              </w:t>
      </w:r>
    </w:p>
    <w:p>
      <w:pPr>
        <w:pStyle w:val="13"/>
        <w:tabs>
          <w:tab w:val="left" w:pos="5580"/>
        </w:tabs>
        <w:spacing w:line="360" w:lineRule="auto"/>
        <w:ind w:firstLine="420" w:firstLineChars="200"/>
        <w:jc w:val="center"/>
        <w:rPr>
          <w:rFonts w:hAnsi="宋体" w:cs="宋体"/>
          <w:color w:val="auto"/>
          <w:szCs w:val="21"/>
          <w:highlight w:val="none"/>
          <w:u w:val="single"/>
        </w:rPr>
      </w:pPr>
      <w:r>
        <w:rPr>
          <w:rFonts w:hint="eastAsia" w:hAnsi="宋体" w:cs="宋体"/>
          <w:color w:val="auto"/>
          <w:szCs w:val="21"/>
          <w:highlight w:val="none"/>
          <w:lang w:val="en-US" w:eastAsia="zh-CN"/>
        </w:rPr>
        <w:t xml:space="preserve">              </w:t>
      </w:r>
      <w:r>
        <w:rPr>
          <w:rFonts w:hint="eastAsia" w:hAnsi="宋体" w:cs="宋体"/>
          <w:color w:val="auto"/>
          <w:szCs w:val="21"/>
          <w:highlight w:val="none"/>
        </w:rPr>
        <w:t>单位地址：</w:t>
      </w:r>
      <w:r>
        <w:rPr>
          <w:rFonts w:hint="eastAsia" w:hAnsi="宋体" w:cs="宋体"/>
          <w:color w:val="auto"/>
          <w:szCs w:val="21"/>
          <w:highlight w:val="none"/>
          <w:u w:val="single"/>
        </w:rPr>
        <w:tab/>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pPr>
        <w:pStyle w:val="13"/>
        <w:tabs>
          <w:tab w:val="left" w:pos="5580"/>
        </w:tabs>
        <w:spacing w:line="360" w:lineRule="auto"/>
        <w:ind w:firstLine="420" w:firstLineChars="200"/>
        <w:jc w:val="right"/>
        <w:rPr>
          <w:rFonts w:hint="eastAsia" w:hAnsi="宋体" w:cs="宋体"/>
          <w:color w:val="auto"/>
          <w:szCs w:val="21"/>
          <w:highlight w:val="none"/>
        </w:rPr>
      </w:pPr>
      <w:r>
        <w:rPr>
          <w:rFonts w:hint="eastAsia" w:hAnsi="宋体" w:cs="宋体"/>
          <w:color w:val="auto"/>
          <w:szCs w:val="21"/>
          <w:highlight w:val="none"/>
        </w:rPr>
        <w:t xml:space="preserve">                              </w:t>
      </w:r>
    </w:p>
    <w:p>
      <w:pPr>
        <w:pStyle w:val="13"/>
        <w:tabs>
          <w:tab w:val="left" w:pos="5580"/>
        </w:tabs>
        <w:spacing w:line="360" w:lineRule="auto"/>
        <w:ind w:firstLine="420" w:firstLineChars="200"/>
        <w:jc w:val="right"/>
        <w:rPr>
          <w:rFonts w:hAnsi="宋体" w:cs="宋体"/>
          <w:color w:val="auto"/>
          <w:szCs w:val="21"/>
          <w:highlight w:val="none"/>
          <w:u w:val="single"/>
        </w:rPr>
      </w:pPr>
      <w:r>
        <w:rPr>
          <w:rFonts w:hint="eastAsia" w:hAnsi="宋体" w:cs="宋体"/>
          <w:color w:val="auto"/>
          <w:szCs w:val="21"/>
          <w:highlight w:val="none"/>
        </w:rPr>
        <w:t>法定代表人</w:t>
      </w:r>
      <w:r>
        <w:rPr>
          <w:rFonts w:hint="eastAsia" w:hAnsi="宋体" w:cs="宋体"/>
          <w:color w:val="auto"/>
          <w:szCs w:val="21"/>
          <w:highlight w:val="none"/>
          <w:lang w:val="en-US" w:eastAsia="zh-CN"/>
        </w:rPr>
        <w:t>或委托代理人</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签字或</w:t>
      </w:r>
      <w:r>
        <w:rPr>
          <w:rFonts w:hint="eastAsia" w:hAnsi="宋体" w:cs="宋体"/>
          <w:color w:val="auto"/>
          <w:szCs w:val="21"/>
          <w:highlight w:val="none"/>
          <w:u w:val="single"/>
        </w:rPr>
        <w:t>盖章）</w:t>
      </w:r>
    </w:p>
    <w:p>
      <w:pPr>
        <w:pStyle w:val="13"/>
        <w:tabs>
          <w:tab w:val="left" w:pos="5580"/>
        </w:tabs>
        <w:spacing w:line="360" w:lineRule="auto"/>
        <w:ind w:firstLine="420" w:firstLineChars="200"/>
        <w:rPr>
          <w:rFonts w:hAnsi="宋体" w:cs="宋体"/>
          <w:color w:val="auto"/>
          <w:szCs w:val="21"/>
          <w:highlight w:val="none"/>
          <w:u w:val="single"/>
        </w:rPr>
      </w:pPr>
    </w:p>
    <w:p>
      <w:pPr>
        <w:pStyle w:val="13"/>
        <w:tabs>
          <w:tab w:val="left" w:pos="5580"/>
        </w:tabs>
        <w:spacing w:line="360" w:lineRule="auto"/>
        <w:ind w:firstLine="3570" w:firstLineChars="1700"/>
        <w:rPr>
          <w:rFonts w:hAnsi="宋体" w:cs="宋体"/>
          <w:color w:val="auto"/>
          <w:szCs w:val="21"/>
          <w:highlight w:val="none"/>
        </w:rPr>
      </w:pPr>
      <w:r>
        <w:rPr>
          <w:rFonts w:hint="eastAsia" w:hAnsi="宋体" w:cs="宋体"/>
          <w:color w:val="auto"/>
          <w:szCs w:val="21"/>
          <w:highlight w:val="none"/>
        </w:rPr>
        <w:t>日期：          年      月      日</w:t>
      </w:r>
    </w:p>
    <w:p>
      <w:pPr>
        <w:spacing w:line="360" w:lineRule="auto"/>
        <w:ind w:firstLine="480" w:firstLineChars="200"/>
        <w:jc w:val="center"/>
        <w:rPr>
          <w:rFonts w:ascii="宋体" w:hAnsi="宋体" w:cs="宋体"/>
          <w:color w:val="auto"/>
          <w:sz w:val="24"/>
          <w:highlight w:val="none"/>
        </w:rPr>
      </w:pPr>
    </w:p>
    <w:p>
      <w:pPr>
        <w:spacing w:line="360" w:lineRule="auto"/>
        <w:ind w:firstLine="480" w:firstLineChars="200"/>
        <w:jc w:val="center"/>
        <w:rPr>
          <w:rFonts w:ascii="宋体" w:hAnsi="宋体" w:cs="宋体"/>
          <w:color w:val="000000"/>
          <w:sz w:val="24"/>
          <w:highlight w:val="none"/>
        </w:rPr>
      </w:pPr>
    </w:p>
    <w:p>
      <w:pPr>
        <w:pStyle w:val="2"/>
        <w:rPr>
          <w:highlight w:val="none"/>
        </w:rPr>
      </w:pPr>
    </w:p>
    <w:p>
      <w:pPr>
        <w:spacing w:line="360" w:lineRule="auto"/>
        <w:rPr>
          <w:rFonts w:ascii="宋体" w:hAnsi="宋体" w:cs="宋体"/>
          <w:color w:val="000000"/>
          <w:sz w:val="24"/>
          <w:highlight w:val="none"/>
        </w:rPr>
      </w:pPr>
    </w:p>
    <w:p>
      <w:pPr>
        <w:pStyle w:val="6"/>
        <w:jc w:val="center"/>
        <w:rPr>
          <w:rFonts w:hAnsi="宋体" w:cs="宋体"/>
          <w:highlight w:val="none"/>
        </w:rPr>
      </w:pPr>
      <w:bookmarkStart w:id="90" w:name="_Toc12161"/>
      <w:bookmarkStart w:id="91" w:name="_Toc54939202"/>
      <w:bookmarkStart w:id="92" w:name="_Toc7098"/>
      <w:r>
        <w:rPr>
          <w:rFonts w:hint="eastAsia" w:hAnsi="宋体" w:cs="宋体"/>
          <w:highlight w:val="none"/>
        </w:rPr>
        <w:t>二、</w:t>
      </w:r>
      <w:bookmarkEnd w:id="90"/>
      <w:r>
        <w:rPr>
          <w:rFonts w:hint="eastAsia" w:hAnsi="宋体" w:cs="宋体"/>
          <w:highlight w:val="none"/>
        </w:rPr>
        <w:t>服务报价表(首轮)</w:t>
      </w:r>
      <w:bookmarkEnd w:id="91"/>
      <w:bookmarkEnd w:id="92"/>
    </w:p>
    <w:p>
      <w:pPr>
        <w:spacing w:line="360" w:lineRule="auto"/>
        <w:rPr>
          <w:rFonts w:ascii="宋体" w:hAnsi="宋体" w:cs="宋体"/>
          <w:szCs w:val="21"/>
          <w:highlight w:val="none"/>
        </w:rPr>
      </w:pPr>
      <w:r>
        <w:rPr>
          <w:rFonts w:hint="eastAsia" w:ascii="宋体" w:hAnsi="宋体" w:cs="宋体"/>
          <w:szCs w:val="21"/>
          <w:highlight w:val="none"/>
        </w:rPr>
        <w:t xml:space="preserve">项目名称： </w:t>
      </w:r>
    </w:p>
    <w:p>
      <w:pPr>
        <w:spacing w:line="360" w:lineRule="auto"/>
        <w:rPr>
          <w:rFonts w:ascii="宋体" w:hAnsi="宋体" w:cs="宋体"/>
          <w:szCs w:val="21"/>
          <w:highlight w:val="none"/>
        </w:rPr>
      </w:pPr>
      <w:r>
        <w:rPr>
          <w:rFonts w:hint="eastAsia" w:ascii="宋体" w:hAnsi="宋体" w:cs="宋体"/>
          <w:szCs w:val="21"/>
          <w:highlight w:val="none"/>
        </w:rPr>
        <w:t xml:space="preserve">项目编号：                                                           </w:t>
      </w:r>
    </w:p>
    <w:tbl>
      <w:tblPr>
        <w:tblStyle w:val="2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890"/>
        <w:gridCol w:w="2325"/>
        <w:gridCol w:w="735"/>
        <w:gridCol w:w="753"/>
        <w:gridCol w:w="13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663" w:type="dxa"/>
            <w:vAlign w:val="center"/>
          </w:tcPr>
          <w:p>
            <w:pPr>
              <w:spacing w:line="360" w:lineRule="auto"/>
              <w:jc w:val="center"/>
              <w:rPr>
                <w:rFonts w:ascii="宋体" w:hAnsi="宋体"/>
                <w:szCs w:val="21"/>
                <w:highlight w:val="none"/>
              </w:rPr>
            </w:pPr>
            <w:r>
              <w:rPr>
                <w:rFonts w:hint="eastAsia" w:ascii="宋体" w:hAnsi="宋体"/>
                <w:szCs w:val="21"/>
                <w:highlight w:val="none"/>
              </w:rPr>
              <w:t>序号</w:t>
            </w:r>
          </w:p>
        </w:tc>
        <w:tc>
          <w:tcPr>
            <w:tcW w:w="1890" w:type="dxa"/>
            <w:vAlign w:val="center"/>
          </w:tcPr>
          <w:p>
            <w:pPr>
              <w:spacing w:line="360" w:lineRule="auto"/>
              <w:jc w:val="center"/>
              <w:rPr>
                <w:rFonts w:ascii="宋体" w:hAnsi="宋体"/>
                <w:szCs w:val="21"/>
                <w:highlight w:val="none"/>
              </w:rPr>
            </w:pPr>
            <w:r>
              <w:rPr>
                <w:rFonts w:hint="eastAsia" w:ascii="宋体" w:hAnsi="宋体"/>
                <w:szCs w:val="21"/>
                <w:highlight w:val="none"/>
              </w:rPr>
              <w:t>货物名称</w:t>
            </w:r>
          </w:p>
        </w:tc>
        <w:tc>
          <w:tcPr>
            <w:tcW w:w="2325" w:type="dxa"/>
            <w:vAlign w:val="center"/>
          </w:tcPr>
          <w:p>
            <w:pPr>
              <w:spacing w:line="360" w:lineRule="auto"/>
              <w:jc w:val="center"/>
              <w:rPr>
                <w:rFonts w:ascii="宋体" w:hAnsi="宋体"/>
                <w:szCs w:val="21"/>
                <w:highlight w:val="none"/>
              </w:rPr>
            </w:pPr>
            <w:r>
              <w:rPr>
                <w:rFonts w:hint="eastAsia" w:ascii="宋体" w:hAnsi="宋体"/>
                <w:szCs w:val="21"/>
                <w:highlight w:val="none"/>
              </w:rPr>
              <w:t>生产厂家、品牌、型号</w:t>
            </w:r>
          </w:p>
        </w:tc>
        <w:tc>
          <w:tcPr>
            <w:tcW w:w="735" w:type="dxa"/>
            <w:vAlign w:val="center"/>
          </w:tcPr>
          <w:p>
            <w:pPr>
              <w:spacing w:line="360" w:lineRule="auto"/>
              <w:jc w:val="center"/>
              <w:rPr>
                <w:rFonts w:ascii="宋体" w:hAnsi="宋体"/>
                <w:szCs w:val="21"/>
                <w:highlight w:val="none"/>
              </w:rPr>
            </w:pPr>
            <w:r>
              <w:rPr>
                <w:rFonts w:hint="eastAsia" w:ascii="宋体" w:hAnsi="宋体"/>
                <w:szCs w:val="21"/>
                <w:highlight w:val="none"/>
              </w:rPr>
              <w:t>单位</w:t>
            </w:r>
          </w:p>
        </w:tc>
        <w:tc>
          <w:tcPr>
            <w:tcW w:w="753" w:type="dxa"/>
            <w:vAlign w:val="center"/>
          </w:tcPr>
          <w:p>
            <w:pPr>
              <w:spacing w:line="360" w:lineRule="auto"/>
              <w:jc w:val="center"/>
              <w:rPr>
                <w:rFonts w:ascii="宋体" w:hAnsi="宋体"/>
                <w:szCs w:val="21"/>
                <w:highlight w:val="none"/>
              </w:rPr>
            </w:pPr>
            <w:r>
              <w:rPr>
                <w:rFonts w:hint="eastAsia" w:ascii="宋体" w:hAnsi="宋体"/>
                <w:szCs w:val="21"/>
                <w:highlight w:val="none"/>
              </w:rPr>
              <w:t>数量</w:t>
            </w:r>
          </w:p>
        </w:tc>
        <w:tc>
          <w:tcPr>
            <w:tcW w:w="1362" w:type="dxa"/>
            <w:vAlign w:val="center"/>
          </w:tcPr>
          <w:p>
            <w:pPr>
              <w:spacing w:line="360" w:lineRule="auto"/>
              <w:jc w:val="center"/>
              <w:rPr>
                <w:rFonts w:ascii="宋体" w:hAnsi="宋体"/>
                <w:szCs w:val="21"/>
                <w:highlight w:val="none"/>
              </w:rPr>
            </w:pPr>
            <w:r>
              <w:rPr>
                <w:rFonts w:hint="eastAsia" w:ascii="宋体" w:hAnsi="宋体"/>
                <w:szCs w:val="21"/>
                <w:highlight w:val="none"/>
              </w:rPr>
              <w:t>单价（元）</w:t>
            </w:r>
          </w:p>
        </w:tc>
        <w:tc>
          <w:tcPr>
            <w:tcW w:w="1171" w:type="dxa"/>
            <w:vAlign w:val="center"/>
          </w:tcPr>
          <w:p>
            <w:pPr>
              <w:spacing w:line="360" w:lineRule="auto"/>
              <w:jc w:val="center"/>
              <w:rPr>
                <w:rFonts w:ascii="宋体" w:hAnsi="宋体"/>
                <w:szCs w:val="21"/>
                <w:highlight w:val="none"/>
              </w:rPr>
            </w:pPr>
            <w:r>
              <w:rPr>
                <w:rFonts w:hint="eastAsia" w:ascii="宋体" w:hAnsi="宋体"/>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室外公共交通梯级链</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台</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4</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2</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扶梯手扶带</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根</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8</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梯级</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个</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41</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4</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梯级轮</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个</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560</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安全工控板</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台</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4</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6</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室外型回转链</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条</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16</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7</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涨紧轮组</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条</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8</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8</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驱动测速传感器</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个</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8</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9</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扶梯运行指示灯</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个</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8</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10</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室外扶梯钥匙盒</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个</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8</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11</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分体式摩擦轮</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个</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8</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12</w:t>
            </w:r>
          </w:p>
        </w:tc>
        <w:tc>
          <w:tcPr>
            <w:tcW w:w="1890"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驱动链</w:t>
            </w: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台</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4</w:t>
            </w: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13</w:t>
            </w:r>
          </w:p>
        </w:tc>
        <w:tc>
          <w:tcPr>
            <w:tcW w:w="1890" w:type="dxa"/>
            <w:vAlign w:val="top"/>
          </w:tcPr>
          <w:p>
            <w:pPr>
              <w:spacing w:line="360" w:lineRule="auto"/>
              <w:jc w:val="center"/>
              <w:rPr>
                <w:rFonts w:hint="eastAsia"/>
                <w:highlight w:val="none"/>
                <w:lang w:eastAsia="zh-CN"/>
              </w:rPr>
            </w:pPr>
            <w:r>
              <w:rPr>
                <w:rFonts w:hint="eastAsia"/>
                <w:highlight w:val="none"/>
                <w:lang w:eastAsia="zh-CN"/>
              </w:rPr>
              <w:t>前沿板拉杆</w:t>
            </w:r>
          </w:p>
          <w:p>
            <w:pPr>
              <w:pStyle w:val="2"/>
              <w:rPr>
                <w:rFonts w:hint="eastAsia" w:ascii="宋体" w:hAnsi="宋体"/>
                <w:szCs w:val="21"/>
                <w:highlight w:val="none"/>
                <w:lang w:eastAsia="zh-CN"/>
              </w:rPr>
            </w:pPr>
          </w:p>
          <w:p>
            <w:pPr>
              <w:pStyle w:val="2"/>
              <w:rPr>
                <w:rFonts w:hint="eastAsia" w:ascii="宋体" w:hAnsi="宋体"/>
                <w:szCs w:val="21"/>
                <w:highlight w:val="none"/>
                <w:lang w:eastAsia="zh-CN"/>
              </w:rPr>
            </w:pPr>
          </w:p>
        </w:tc>
        <w:tc>
          <w:tcPr>
            <w:tcW w:w="2325" w:type="dxa"/>
            <w:vAlign w:val="top"/>
          </w:tcPr>
          <w:p>
            <w:pPr>
              <w:spacing w:line="360" w:lineRule="auto"/>
              <w:jc w:val="center"/>
              <w:rPr>
                <w:rFonts w:hint="eastAsia" w:ascii="宋体" w:hAnsi="宋体"/>
                <w:szCs w:val="21"/>
                <w:highlight w:val="none"/>
              </w:rPr>
            </w:pPr>
          </w:p>
        </w:tc>
        <w:tc>
          <w:tcPr>
            <w:tcW w:w="735"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个</w:t>
            </w:r>
          </w:p>
        </w:tc>
        <w:tc>
          <w:tcPr>
            <w:tcW w:w="753"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16</w:t>
            </w:r>
          </w:p>
        </w:tc>
        <w:tc>
          <w:tcPr>
            <w:tcW w:w="1362" w:type="dxa"/>
            <w:vAlign w:val="center"/>
          </w:tcPr>
          <w:p>
            <w:pPr>
              <w:spacing w:line="360" w:lineRule="auto"/>
              <w:jc w:val="center"/>
              <w:rPr>
                <w:highlight w:val="none"/>
              </w:rPr>
            </w:pPr>
          </w:p>
          <w:p>
            <w:pPr>
              <w:pStyle w:val="2"/>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663" w:type="dxa"/>
            <w:vAlign w:val="top"/>
          </w:tcPr>
          <w:p>
            <w:pPr>
              <w:spacing w:line="360" w:lineRule="auto"/>
              <w:jc w:val="center"/>
              <w:rPr>
                <w:rFonts w:hint="eastAsia" w:ascii="宋体" w:hAnsi="宋体"/>
                <w:szCs w:val="21"/>
                <w:highlight w:val="none"/>
                <w:lang w:val="en-US" w:eastAsia="zh-CN"/>
              </w:rPr>
            </w:pPr>
          </w:p>
        </w:tc>
        <w:tc>
          <w:tcPr>
            <w:tcW w:w="4215" w:type="dxa"/>
            <w:gridSpan w:val="2"/>
            <w:vAlign w:val="center"/>
          </w:tcPr>
          <w:p>
            <w:pPr>
              <w:pStyle w:val="2"/>
              <w:ind w:left="420" w:leftChars="200" w:firstLine="894" w:firstLineChars="426"/>
              <w:rPr>
                <w:rFonts w:hint="eastAsia" w:ascii="宋体" w:hAnsi="宋体"/>
                <w:szCs w:val="21"/>
                <w:highlight w:val="none"/>
                <w:lang w:val="en-US" w:eastAsia="zh-CN"/>
              </w:rPr>
            </w:pPr>
            <w:r>
              <w:rPr>
                <w:rFonts w:hint="eastAsia" w:ascii="宋体" w:hAnsi="宋体"/>
                <w:szCs w:val="21"/>
                <w:highlight w:val="none"/>
              </w:rPr>
              <w:t>服务项目名称</w:t>
            </w: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tc>
        <w:tc>
          <w:tcPr>
            <w:tcW w:w="735" w:type="dxa"/>
            <w:vAlign w:val="center"/>
          </w:tcPr>
          <w:p>
            <w:pPr>
              <w:spacing w:line="360" w:lineRule="auto"/>
              <w:jc w:val="center"/>
              <w:rPr>
                <w:rFonts w:ascii="宋体" w:hAnsi="宋体"/>
                <w:szCs w:val="21"/>
                <w:highlight w:val="none"/>
              </w:rPr>
            </w:pPr>
            <w:r>
              <w:rPr>
                <w:rFonts w:hint="eastAsia" w:ascii="宋体" w:hAnsi="宋体"/>
                <w:szCs w:val="21"/>
                <w:highlight w:val="none"/>
              </w:rPr>
              <w:t>单位</w:t>
            </w:r>
          </w:p>
        </w:tc>
        <w:tc>
          <w:tcPr>
            <w:tcW w:w="753" w:type="dxa"/>
            <w:vAlign w:val="center"/>
          </w:tcPr>
          <w:p>
            <w:pPr>
              <w:spacing w:line="360" w:lineRule="auto"/>
              <w:jc w:val="center"/>
              <w:rPr>
                <w:rFonts w:ascii="宋体" w:hAnsi="宋体"/>
                <w:szCs w:val="21"/>
                <w:highlight w:val="none"/>
              </w:rPr>
            </w:pPr>
            <w:r>
              <w:rPr>
                <w:rFonts w:hint="eastAsia" w:ascii="宋体" w:hAnsi="宋体"/>
                <w:szCs w:val="21"/>
                <w:highlight w:val="none"/>
              </w:rPr>
              <w:t>数量</w:t>
            </w:r>
          </w:p>
        </w:tc>
        <w:tc>
          <w:tcPr>
            <w:tcW w:w="1362" w:type="dxa"/>
            <w:vAlign w:val="center"/>
          </w:tcPr>
          <w:p>
            <w:pPr>
              <w:spacing w:line="360" w:lineRule="auto"/>
              <w:jc w:val="center"/>
              <w:rPr>
                <w:rFonts w:ascii="宋体" w:hAnsi="宋体"/>
                <w:szCs w:val="21"/>
                <w:highlight w:val="none"/>
              </w:rPr>
            </w:pPr>
            <w:r>
              <w:rPr>
                <w:rFonts w:hint="eastAsia" w:ascii="宋体" w:hAnsi="宋体"/>
                <w:szCs w:val="21"/>
                <w:highlight w:val="none"/>
              </w:rPr>
              <w:t>单价（元）</w:t>
            </w:r>
          </w:p>
        </w:tc>
        <w:tc>
          <w:tcPr>
            <w:tcW w:w="1171" w:type="dxa"/>
            <w:vAlign w:val="center"/>
          </w:tcPr>
          <w:p>
            <w:pPr>
              <w:spacing w:line="360" w:lineRule="auto"/>
              <w:jc w:val="center"/>
              <w:rPr>
                <w:rFonts w:ascii="宋体" w:hAnsi="宋体"/>
                <w:szCs w:val="21"/>
                <w:highlight w:val="none"/>
              </w:rPr>
            </w:pPr>
            <w:r>
              <w:rPr>
                <w:rFonts w:hint="eastAsia" w:ascii="宋体" w:hAnsi="宋体"/>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center"/>
          </w:tcPr>
          <w:p>
            <w:pPr>
              <w:spacing w:line="36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1</w:t>
            </w:r>
          </w:p>
        </w:tc>
        <w:tc>
          <w:tcPr>
            <w:tcW w:w="4215" w:type="dxa"/>
            <w:gridSpan w:val="2"/>
            <w:vAlign w:val="center"/>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电梯大修主要服务内容</w:t>
            </w:r>
          </w:p>
        </w:tc>
        <w:tc>
          <w:tcPr>
            <w:tcW w:w="735" w:type="dxa"/>
            <w:vAlign w:val="center"/>
          </w:tcPr>
          <w:p>
            <w:pPr>
              <w:spacing w:line="360" w:lineRule="auto"/>
              <w:jc w:val="center"/>
              <w:rPr>
                <w:rFonts w:ascii="宋体" w:hAnsi="宋体"/>
                <w:szCs w:val="21"/>
                <w:highlight w:val="none"/>
              </w:rPr>
            </w:pPr>
          </w:p>
        </w:tc>
        <w:tc>
          <w:tcPr>
            <w:tcW w:w="753" w:type="dxa"/>
            <w:vAlign w:val="center"/>
          </w:tcPr>
          <w:p>
            <w:pPr>
              <w:spacing w:line="360" w:lineRule="auto"/>
              <w:jc w:val="center"/>
              <w:rPr>
                <w:rFonts w:ascii="宋体" w:hAnsi="宋体"/>
                <w:szCs w:val="21"/>
                <w:highlight w:val="none"/>
              </w:rPr>
            </w:pP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center"/>
          </w:tcPr>
          <w:p>
            <w:pPr>
              <w:spacing w:line="36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4215" w:type="dxa"/>
            <w:gridSpan w:val="2"/>
            <w:vAlign w:val="center"/>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其他服务要求</w:t>
            </w:r>
          </w:p>
        </w:tc>
        <w:tc>
          <w:tcPr>
            <w:tcW w:w="735" w:type="dxa"/>
            <w:vAlign w:val="center"/>
          </w:tcPr>
          <w:p>
            <w:pPr>
              <w:spacing w:line="360" w:lineRule="auto"/>
              <w:jc w:val="center"/>
              <w:rPr>
                <w:rFonts w:ascii="宋体" w:hAnsi="宋体"/>
                <w:szCs w:val="21"/>
                <w:highlight w:val="none"/>
              </w:rPr>
            </w:pPr>
          </w:p>
        </w:tc>
        <w:tc>
          <w:tcPr>
            <w:tcW w:w="753" w:type="dxa"/>
            <w:vAlign w:val="center"/>
          </w:tcPr>
          <w:p>
            <w:pPr>
              <w:spacing w:line="360" w:lineRule="auto"/>
              <w:jc w:val="center"/>
              <w:rPr>
                <w:rFonts w:ascii="宋体" w:hAnsi="宋体"/>
                <w:szCs w:val="21"/>
                <w:highlight w:val="none"/>
              </w:rPr>
            </w:pP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center"/>
          </w:tcPr>
          <w:p>
            <w:pPr>
              <w:spacing w:line="360" w:lineRule="auto"/>
              <w:jc w:val="center"/>
              <w:rPr>
                <w:rFonts w:hint="default" w:ascii="宋体" w:hAnsi="宋体"/>
                <w:szCs w:val="21"/>
                <w:highlight w:val="none"/>
                <w:lang w:val="en-US" w:eastAsia="zh-CN"/>
              </w:rPr>
            </w:pPr>
          </w:p>
        </w:tc>
        <w:tc>
          <w:tcPr>
            <w:tcW w:w="4215" w:type="dxa"/>
            <w:gridSpan w:val="2"/>
            <w:vAlign w:val="center"/>
          </w:tcPr>
          <w:p>
            <w:pPr>
              <w:spacing w:line="360" w:lineRule="auto"/>
              <w:jc w:val="center"/>
              <w:rPr>
                <w:rFonts w:hint="eastAsia" w:ascii="宋体" w:hAnsi="宋体"/>
                <w:szCs w:val="21"/>
                <w:highlight w:val="none"/>
                <w:lang w:val="en-US" w:eastAsia="zh-CN"/>
              </w:rPr>
            </w:pPr>
          </w:p>
        </w:tc>
        <w:tc>
          <w:tcPr>
            <w:tcW w:w="735" w:type="dxa"/>
            <w:vAlign w:val="center"/>
          </w:tcPr>
          <w:p>
            <w:pPr>
              <w:spacing w:line="360" w:lineRule="auto"/>
              <w:jc w:val="center"/>
              <w:rPr>
                <w:rFonts w:ascii="宋体" w:hAnsi="宋体"/>
                <w:szCs w:val="21"/>
                <w:highlight w:val="none"/>
              </w:rPr>
            </w:pPr>
          </w:p>
        </w:tc>
        <w:tc>
          <w:tcPr>
            <w:tcW w:w="753" w:type="dxa"/>
            <w:vAlign w:val="center"/>
          </w:tcPr>
          <w:p>
            <w:pPr>
              <w:spacing w:line="360" w:lineRule="auto"/>
              <w:jc w:val="center"/>
              <w:rPr>
                <w:rFonts w:ascii="宋体" w:hAnsi="宋体"/>
                <w:szCs w:val="21"/>
                <w:highlight w:val="none"/>
              </w:rPr>
            </w:pPr>
          </w:p>
        </w:tc>
        <w:tc>
          <w:tcPr>
            <w:tcW w:w="1362" w:type="dxa"/>
            <w:vAlign w:val="center"/>
          </w:tcPr>
          <w:p>
            <w:pPr>
              <w:spacing w:line="360" w:lineRule="auto"/>
              <w:jc w:val="center"/>
              <w:rPr>
                <w:rFonts w:ascii="宋体" w:hAnsi="宋体"/>
                <w:szCs w:val="21"/>
                <w:highlight w:val="none"/>
              </w:rPr>
            </w:pPr>
          </w:p>
        </w:tc>
        <w:tc>
          <w:tcPr>
            <w:tcW w:w="1171"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63" w:type="dxa"/>
            <w:vAlign w:val="center"/>
          </w:tcPr>
          <w:p>
            <w:pPr>
              <w:spacing w:line="360" w:lineRule="auto"/>
              <w:jc w:val="center"/>
              <w:rPr>
                <w:rFonts w:ascii="宋体" w:hAnsi="宋体"/>
                <w:spacing w:val="-4"/>
                <w:szCs w:val="21"/>
                <w:highlight w:val="none"/>
              </w:rPr>
            </w:pPr>
            <w:r>
              <w:rPr>
                <w:rFonts w:hint="eastAsia" w:ascii="宋体" w:hAnsi="宋体"/>
                <w:spacing w:val="-4"/>
                <w:szCs w:val="21"/>
                <w:highlight w:val="none"/>
              </w:rPr>
              <w:t>总价</w:t>
            </w:r>
          </w:p>
        </w:tc>
        <w:tc>
          <w:tcPr>
            <w:tcW w:w="8236" w:type="dxa"/>
            <w:gridSpan w:val="6"/>
            <w:vAlign w:val="center"/>
          </w:tcPr>
          <w:p>
            <w:pPr>
              <w:spacing w:line="360" w:lineRule="auto"/>
              <w:rPr>
                <w:rFonts w:ascii="宋体" w:hAnsi="宋体"/>
                <w:szCs w:val="21"/>
                <w:highlight w:val="none"/>
              </w:rPr>
            </w:pPr>
            <w:r>
              <w:rPr>
                <w:rFonts w:hint="eastAsia" w:ascii="宋体" w:hAnsi="宋体"/>
                <w:szCs w:val="21"/>
                <w:highlight w:val="none"/>
              </w:rPr>
              <w:t>小写：           元</w:t>
            </w:r>
          </w:p>
        </w:tc>
      </w:tr>
    </w:tbl>
    <w:p>
      <w:pPr>
        <w:spacing w:line="360" w:lineRule="auto"/>
        <w:rPr>
          <w:rFonts w:ascii="宋体" w:hAnsi="宋体" w:cs="宋体"/>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注：服务内容无需注明生产厂家、品牌型号。</w: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ind w:firstLine="3561" w:firstLineChars="1696"/>
        <w:rPr>
          <w:rFonts w:hint="eastAsia" w:ascii="宋体" w:hAnsi="宋体" w:cs="宋体"/>
          <w:color w:val="auto"/>
          <w:szCs w:val="21"/>
          <w:highlight w:val="none"/>
        </w:rPr>
      </w:pPr>
    </w:p>
    <w:p>
      <w:pPr>
        <w:spacing w:line="360" w:lineRule="auto"/>
        <w:ind w:firstLine="3561" w:firstLineChars="1696"/>
        <w:rPr>
          <w:rFonts w:ascii="宋体" w:hAnsi="宋体" w:cs="宋体"/>
          <w:color w:val="auto"/>
          <w:szCs w:val="21"/>
          <w:highlight w:val="none"/>
        </w:rPr>
      </w:pPr>
      <w:r>
        <w:rPr>
          <w:rFonts w:hint="eastAsia" w:ascii="宋体" w:hAnsi="宋体" w:cs="宋体"/>
          <w:color w:val="auto"/>
          <w:szCs w:val="21"/>
          <w:highlight w:val="none"/>
        </w:rPr>
        <w:t>谈判响应人：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firstLine="3561" w:firstLineChars="1696"/>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或委托代理人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pPr>
        <w:spacing w:line="360" w:lineRule="auto"/>
        <w:ind w:firstLine="3570" w:firstLineChars="1700"/>
        <w:rPr>
          <w:rFonts w:ascii="宋体" w:hAnsi="宋体" w:cs="宋体"/>
          <w:color w:val="auto"/>
          <w:szCs w:val="21"/>
          <w:highlight w:val="none"/>
        </w:rPr>
      </w:pPr>
    </w:p>
    <w:p>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firstLine="3570" w:firstLineChars="1700"/>
        <w:rPr>
          <w:rFonts w:ascii="宋体" w:hAnsi="宋体" w:cs="宋体"/>
          <w:color w:val="000000"/>
          <w:szCs w:val="21"/>
          <w:highlight w:val="none"/>
        </w:rPr>
      </w:pPr>
    </w:p>
    <w:p>
      <w:pPr>
        <w:spacing w:line="360" w:lineRule="auto"/>
        <w:ind w:firstLine="3570" w:firstLineChars="1700"/>
        <w:rPr>
          <w:rFonts w:ascii="宋体" w:hAnsi="宋体" w:cs="宋体"/>
          <w:color w:val="000000"/>
          <w:szCs w:val="21"/>
          <w:highlight w:val="none"/>
        </w:rPr>
      </w:pPr>
    </w:p>
    <w:p>
      <w:pPr>
        <w:spacing w:line="360" w:lineRule="auto"/>
        <w:ind w:firstLine="3570" w:firstLineChars="1700"/>
        <w:rPr>
          <w:rFonts w:ascii="宋体" w:hAnsi="宋体" w:cs="宋体"/>
          <w:color w:val="000000"/>
          <w:szCs w:val="21"/>
          <w:highlight w:val="none"/>
        </w:rPr>
      </w:pPr>
    </w:p>
    <w:p>
      <w:pPr>
        <w:pStyle w:val="2"/>
        <w:rPr>
          <w:rFonts w:ascii="宋体" w:hAnsi="宋体" w:cs="宋体"/>
          <w:color w:val="000000"/>
          <w:szCs w:val="21"/>
          <w:highlight w:val="none"/>
        </w:rPr>
      </w:pPr>
    </w:p>
    <w:p>
      <w:pPr>
        <w:pStyle w:val="2"/>
        <w:rPr>
          <w:rFonts w:ascii="宋体" w:hAnsi="宋体" w:cs="宋体"/>
          <w:color w:val="000000"/>
          <w:szCs w:val="21"/>
          <w:highlight w:val="none"/>
        </w:rPr>
      </w:pPr>
    </w:p>
    <w:p>
      <w:pPr>
        <w:spacing w:line="360" w:lineRule="auto"/>
        <w:ind w:firstLine="3570" w:firstLineChars="1700"/>
        <w:rPr>
          <w:rFonts w:ascii="宋体" w:hAnsi="宋体" w:cs="宋体"/>
          <w:color w:val="000000"/>
          <w:szCs w:val="21"/>
          <w:highlight w:val="none"/>
        </w:rPr>
      </w:pPr>
    </w:p>
    <w:p>
      <w:pPr>
        <w:spacing w:line="360" w:lineRule="auto"/>
        <w:ind w:firstLine="3570" w:firstLineChars="1700"/>
        <w:rPr>
          <w:rFonts w:ascii="宋体" w:hAnsi="宋体" w:cs="宋体"/>
          <w:color w:val="000000"/>
          <w:szCs w:val="21"/>
          <w:highlight w:val="none"/>
        </w:rPr>
      </w:pPr>
    </w:p>
    <w:p>
      <w:pPr>
        <w:spacing w:line="360" w:lineRule="auto"/>
        <w:ind w:firstLine="3570" w:firstLineChars="1700"/>
        <w:rPr>
          <w:rFonts w:ascii="宋体" w:hAnsi="宋体" w:cs="宋体"/>
          <w:color w:val="000000"/>
          <w:szCs w:val="21"/>
          <w:highlight w:val="none"/>
        </w:rPr>
      </w:pPr>
    </w:p>
    <w:p>
      <w:pPr>
        <w:pStyle w:val="6"/>
        <w:jc w:val="center"/>
        <w:rPr>
          <w:rFonts w:hAnsi="宋体" w:cs="宋体"/>
          <w:highlight w:val="none"/>
          <w:u w:val="single"/>
        </w:rPr>
      </w:pPr>
      <w:bookmarkStart w:id="93" w:name="_Toc54939203"/>
      <w:bookmarkStart w:id="94" w:name="_Toc10635"/>
      <w:bookmarkStart w:id="95" w:name="_Toc15489"/>
      <w:r>
        <w:rPr>
          <w:rFonts w:hint="eastAsia" w:hAnsi="宋体" w:cs="宋体"/>
          <w:highlight w:val="none"/>
        </w:rPr>
        <w:t>最终报价表</w:t>
      </w:r>
      <w:bookmarkEnd w:id="93"/>
      <w:bookmarkEnd w:id="94"/>
      <w:bookmarkEnd w:id="95"/>
    </w:p>
    <w:p>
      <w:pPr>
        <w:spacing w:line="360" w:lineRule="auto"/>
        <w:rPr>
          <w:rFonts w:ascii="宋体" w:hAnsi="宋体" w:cs="宋体"/>
          <w:sz w:val="24"/>
          <w:highlight w:val="none"/>
        </w:rPr>
      </w:pPr>
      <w:r>
        <w:rPr>
          <w:rFonts w:hint="eastAsia" w:ascii="宋体" w:hAnsi="宋体" w:cs="宋体"/>
          <w:szCs w:val="21"/>
          <w:highlight w:val="none"/>
        </w:rPr>
        <w:t xml:space="preserve">项目名称：  </w:t>
      </w:r>
    </w:p>
    <w:p>
      <w:pPr>
        <w:spacing w:line="360" w:lineRule="auto"/>
        <w:rPr>
          <w:rFonts w:ascii="宋体" w:hAnsi="宋体" w:cs="宋体"/>
          <w:kern w:val="0"/>
          <w:sz w:val="24"/>
          <w:highlight w:val="none"/>
          <w:lang w:val="zh-CN"/>
        </w:rPr>
      </w:pPr>
      <w:r>
        <w:rPr>
          <w:rFonts w:hint="eastAsia" w:ascii="宋体" w:hAnsi="宋体" w:cs="宋体"/>
          <w:szCs w:val="21"/>
          <w:highlight w:val="none"/>
        </w:rPr>
        <w:t xml:space="preserve">项目编号： </w:t>
      </w:r>
    </w:p>
    <w:p>
      <w:pPr>
        <w:spacing w:line="360" w:lineRule="auto"/>
        <w:ind w:firstLine="6090" w:firstLineChars="2900"/>
        <w:rPr>
          <w:rFonts w:ascii="宋体" w:hAnsi="宋体" w:cs="宋体"/>
          <w:highlight w:val="none"/>
        </w:rPr>
      </w:pPr>
      <w:r>
        <w:rPr>
          <w:rFonts w:hint="eastAsia" w:ascii="宋体" w:hAnsi="宋体" w:cs="宋体"/>
          <w:highlight w:val="none"/>
        </w:rPr>
        <w:t>金额单位：人民币（元）</w:t>
      </w:r>
    </w:p>
    <w:tbl>
      <w:tblPr>
        <w:tblStyle w:val="2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highlight w:val="none"/>
              </w:rPr>
            </w:pPr>
            <w:r>
              <w:rPr>
                <w:rFonts w:hint="eastAsia" w:ascii="宋体" w:hAnsi="宋体" w:cs="宋体"/>
                <w:sz w:val="24"/>
                <w:highlight w:val="none"/>
              </w:rPr>
              <w:t>最终报价</w:t>
            </w:r>
          </w:p>
        </w:tc>
        <w:tc>
          <w:tcPr>
            <w:tcW w:w="7507" w:type="dxa"/>
            <w:vAlign w:val="center"/>
          </w:tcPr>
          <w:p>
            <w:pPr>
              <w:wordWrap w:val="0"/>
              <w:spacing w:line="400" w:lineRule="exact"/>
              <w:rPr>
                <w:rFonts w:ascii="宋体" w:hAnsi="宋体" w:cs="宋体"/>
                <w:sz w:val="24"/>
                <w:highlight w:val="none"/>
              </w:rPr>
            </w:pPr>
            <w:r>
              <w:rPr>
                <w:rFonts w:hint="eastAsia" w:ascii="宋体" w:hAnsi="宋体" w:cs="宋体"/>
                <w:sz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highlight w:val="none"/>
              </w:rPr>
            </w:pPr>
          </w:p>
        </w:tc>
        <w:tc>
          <w:tcPr>
            <w:tcW w:w="7507" w:type="dxa"/>
            <w:vAlign w:val="center"/>
          </w:tcPr>
          <w:p>
            <w:pPr>
              <w:wordWrap w:val="0"/>
              <w:rPr>
                <w:rFonts w:ascii="宋体" w:hAnsi="宋体" w:cs="宋体"/>
                <w:sz w:val="24"/>
                <w:highlight w:val="none"/>
              </w:rPr>
            </w:pPr>
            <w:r>
              <w:rPr>
                <w:rFonts w:hint="eastAsia" w:ascii="宋体" w:hAnsi="宋体" w:cs="宋体"/>
                <w:sz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sz w:val="24"/>
                <w:highlight w:val="none"/>
              </w:rPr>
            </w:pPr>
            <w:r>
              <w:rPr>
                <w:rFonts w:hint="eastAsia" w:ascii="宋体" w:hAnsi="宋体" w:cs="宋体"/>
                <w:sz w:val="24"/>
                <w:highlight w:val="none"/>
              </w:rPr>
              <w:t>服务期</w:t>
            </w:r>
          </w:p>
        </w:tc>
        <w:tc>
          <w:tcPr>
            <w:tcW w:w="7507" w:type="dxa"/>
            <w:vAlign w:val="center"/>
          </w:tcPr>
          <w:p>
            <w:pPr>
              <w:pStyle w:val="13"/>
              <w:tabs>
                <w:tab w:val="left" w:pos="5580"/>
              </w:tabs>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自合同签订之日起两个月完成。</w:t>
            </w:r>
          </w:p>
          <w:p>
            <w:pPr>
              <w:spacing w:line="40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highlight w:val="none"/>
              </w:rPr>
            </w:pPr>
            <w:r>
              <w:rPr>
                <w:rFonts w:hint="eastAsia" w:ascii="宋体" w:hAnsi="宋体" w:cs="宋体"/>
                <w:sz w:val="24"/>
                <w:highlight w:val="none"/>
              </w:rPr>
              <w:t>备注：</w:t>
            </w:r>
          </w:p>
          <w:p>
            <w:pPr>
              <w:spacing w:line="400" w:lineRule="exact"/>
              <w:rPr>
                <w:rFonts w:ascii="宋体" w:hAnsi="宋体" w:cs="宋体"/>
                <w:sz w:val="24"/>
                <w:highlight w:val="none"/>
              </w:rPr>
            </w:pPr>
            <w:r>
              <w:rPr>
                <w:rFonts w:hint="eastAsia" w:ascii="宋体" w:hAnsi="宋体" w:cs="宋体"/>
                <w:sz w:val="24"/>
                <w:highlight w:val="none"/>
              </w:rPr>
              <w:t>1、分项报价按总报价的同等比例下浮；</w:t>
            </w:r>
          </w:p>
          <w:p>
            <w:pPr>
              <w:spacing w:line="400" w:lineRule="exact"/>
              <w:rPr>
                <w:rFonts w:ascii="宋体" w:hAnsi="宋体" w:cs="宋体"/>
                <w:sz w:val="24"/>
                <w:highlight w:val="none"/>
              </w:rPr>
            </w:pPr>
            <w:r>
              <w:rPr>
                <w:rFonts w:hint="eastAsia" w:ascii="宋体" w:hAnsi="宋体" w:cs="宋体"/>
                <w:sz w:val="24"/>
                <w:highlight w:val="none"/>
              </w:rPr>
              <w:t>2、最终报价保留两位小数，小数点后第三位四舍五入。</w:t>
            </w:r>
          </w:p>
        </w:tc>
      </w:tr>
    </w:tbl>
    <w:p>
      <w:pPr>
        <w:spacing w:line="360" w:lineRule="auto"/>
        <w:rPr>
          <w:rFonts w:ascii="宋体" w:hAnsi="宋体" w:cs="宋体"/>
          <w:b/>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注：此表请各谈判响应人多准备几份，并加盖谈判响应人公章及法定代表人或委托代理人</w:t>
      </w:r>
      <w:r>
        <w:rPr>
          <w:rFonts w:hint="eastAsia" w:ascii="宋体" w:hAnsi="宋体" w:cs="宋体"/>
          <w:b/>
          <w:color w:val="auto"/>
          <w:sz w:val="24"/>
          <w:highlight w:val="none"/>
          <w:lang w:val="en-US" w:eastAsia="zh-CN"/>
        </w:rPr>
        <w:t>签字或盖</w:t>
      </w:r>
      <w:r>
        <w:rPr>
          <w:rFonts w:hint="eastAsia" w:ascii="宋体" w:hAnsi="宋体" w:cs="宋体"/>
          <w:b/>
          <w:color w:val="auto"/>
          <w:sz w:val="24"/>
          <w:highlight w:val="none"/>
        </w:rPr>
        <w:t>章，以便在谈判最终报价时使用。（此表由谈判响应人谈判现场递交）</w:t>
      </w:r>
    </w:p>
    <w:p>
      <w:pPr>
        <w:spacing w:line="360" w:lineRule="auto"/>
        <w:ind w:firstLine="3465" w:firstLineChars="1650"/>
        <w:rPr>
          <w:rFonts w:ascii="宋体" w:hAnsi="宋体" w:cs="宋体"/>
          <w:color w:val="000000"/>
          <w:szCs w:val="21"/>
          <w:highlight w:val="none"/>
        </w:rPr>
      </w:pPr>
    </w:p>
    <w:p>
      <w:pPr>
        <w:spacing w:line="360" w:lineRule="auto"/>
        <w:ind w:firstLine="3465" w:firstLineChars="1650"/>
        <w:jc w:val="right"/>
        <w:rPr>
          <w:rFonts w:ascii="宋体" w:hAnsi="宋体" w:cs="宋体"/>
          <w:color w:val="auto"/>
          <w:szCs w:val="21"/>
          <w:highlight w:val="none"/>
        </w:rPr>
      </w:pPr>
      <w:r>
        <w:rPr>
          <w:rFonts w:hint="eastAsia" w:ascii="宋体" w:hAnsi="宋体" w:cs="宋体"/>
          <w:color w:val="auto"/>
          <w:szCs w:val="21"/>
          <w:highlight w:val="none"/>
        </w:rPr>
        <w:t>谈判响应人：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firstLine="3561" w:firstLineChars="1696"/>
        <w:jc w:val="right"/>
        <w:rPr>
          <w:rFonts w:ascii="宋体" w:hAnsi="宋体" w:cs="宋体"/>
          <w:color w:val="auto"/>
          <w:szCs w:val="21"/>
          <w:highlight w:val="none"/>
        </w:rPr>
      </w:pPr>
    </w:p>
    <w:p>
      <w:pPr>
        <w:spacing w:line="360" w:lineRule="auto"/>
        <w:ind w:firstLine="3465" w:firstLineChars="1650"/>
        <w:jc w:val="right"/>
        <w:rPr>
          <w:rFonts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ind w:firstLine="3570" w:firstLineChars="1700"/>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widowControl/>
        <w:jc w:val="left"/>
        <w:rPr>
          <w:rFonts w:ascii="宋体" w:hAnsi="宋体" w:cs="宋体"/>
          <w:color w:val="000000"/>
          <w:szCs w:val="21"/>
          <w:highlight w:val="none"/>
        </w:rPr>
      </w:pPr>
      <w:r>
        <w:rPr>
          <w:rFonts w:ascii="宋体" w:hAnsi="宋体" w:cs="宋体"/>
          <w:color w:val="000000"/>
          <w:szCs w:val="21"/>
          <w:highlight w:val="none"/>
        </w:rPr>
        <w:br w:type="page"/>
      </w:r>
    </w:p>
    <w:p>
      <w:pPr>
        <w:pStyle w:val="6"/>
        <w:jc w:val="center"/>
        <w:rPr>
          <w:rFonts w:hAnsi="宋体" w:cs="宋体"/>
          <w:highlight w:val="none"/>
        </w:rPr>
      </w:pPr>
      <w:bookmarkStart w:id="96" w:name="_Toc28153"/>
      <w:bookmarkStart w:id="97" w:name="_Toc54939204"/>
      <w:r>
        <w:rPr>
          <w:rFonts w:hint="eastAsia" w:hAnsi="宋体" w:cs="宋体"/>
          <w:color w:val="000000"/>
          <w:highlight w:val="none"/>
        </w:rPr>
        <w:t>三、</w:t>
      </w:r>
      <w:bookmarkEnd w:id="96"/>
      <w:bookmarkStart w:id="98" w:name="_Toc25208"/>
      <w:r>
        <w:rPr>
          <w:rFonts w:hint="eastAsia" w:hAnsi="宋体" w:cs="宋体"/>
          <w:highlight w:val="none"/>
        </w:rPr>
        <w:t>服务内容及质量要求响应表</w:t>
      </w:r>
      <w:bookmarkEnd w:id="97"/>
      <w:bookmarkEnd w:id="98"/>
    </w:p>
    <w:p>
      <w:pPr>
        <w:spacing w:line="360" w:lineRule="auto"/>
        <w:rPr>
          <w:rFonts w:hint="eastAsia" w:ascii="宋体" w:hAnsi="宋体" w:cs="宋体"/>
          <w:szCs w:val="21"/>
          <w:highlight w:val="none"/>
        </w:rPr>
      </w:pPr>
      <w:r>
        <w:rPr>
          <w:rFonts w:hint="eastAsia" w:ascii="宋体" w:hAnsi="宋体" w:cs="宋体"/>
          <w:szCs w:val="21"/>
          <w:highlight w:val="none"/>
        </w:rPr>
        <w:t>项目名称：</w:t>
      </w:r>
    </w:p>
    <w:tbl>
      <w:tblPr>
        <w:tblStyle w:val="25"/>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069"/>
        <w:gridCol w:w="2370"/>
        <w:gridCol w:w="237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695" w:type="dxa"/>
            <w:vAlign w:val="center"/>
          </w:tcPr>
          <w:p>
            <w:pPr>
              <w:spacing w:line="360" w:lineRule="auto"/>
              <w:jc w:val="center"/>
              <w:rPr>
                <w:rFonts w:ascii="宋体" w:hAnsi="宋体"/>
                <w:szCs w:val="21"/>
                <w:highlight w:val="none"/>
              </w:rPr>
            </w:pPr>
            <w:r>
              <w:rPr>
                <w:rFonts w:hint="eastAsia" w:ascii="宋体" w:hAnsi="宋体"/>
                <w:szCs w:val="21"/>
                <w:highlight w:val="none"/>
              </w:rPr>
              <w:t>序号</w:t>
            </w:r>
          </w:p>
        </w:tc>
        <w:tc>
          <w:tcPr>
            <w:tcW w:w="2069" w:type="dxa"/>
            <w:vAlign w:val="center"/>
          </w:tcPr>
          <w:p>
            <w:pPr>
              <w:spacing w:line="360" w:lineRule="auto"/>
              <w:jc w:val="center"/>
              <w:rPr>
                <w:rFonts w:ascii="宋体" w:hAnsi="宋体"/>
                <w:szCs w:val="21"/>
                <w:highlight w:val="none"/>
              </w:rPr>
            </w:pPr>
            <w:r>
              <w:rPr>
                <w:rFonts w:hint="eastAsia" w:ascii="宋体" w:hAnsi="宋体"/>
                <w:szCs w:val="21"/>
                <w:highlight w:val="none"/>
              </w:rPr>
              <w:t>货物名称</w:t>
            </w:r>
          </w:p>
        </w:tc>
        <w:tc>
          <w:tcPr>
            <w:tcW w:w="2370" w:type="dxa"/>
            <w:vAlign w:val="center"/>
          </w:tcPr>
          <w:p>
            <w:pPr>
              <w:spacing w:line="360" w:lineRule="auto"/>
              <w:jc w:val="center"/>
              <w:rPr>
                <w:rFonts w:ascii="宋体" w:hAnsi="宋体"/>
                <w:szCs w:val="21"/>
                <w:highlight w:val="none"/>
              </w:rPr>
            </w:pPr>
            <w:r>
              <w:rPr>
                <w:rFonts w:hint="eastAsia" w:ascii="宋体" w:hAnsi="宋体"/>
                <w:szCs w:val="21"/>
                <w:highlight w:val="none"/>
              </w:rPr>
              <w:t>生产厂家、品牌、型号</w:t>
            </w:r>
          </w:p>
        </w:tc>
        <w:tc>
          <w:tcPr>
            <w:tcW w:w="2370" w:type="dxa"/>
            <w:vAlign w:val="center"/>
          </w:tcPr>
          <w:p>
            <w:pPr>
              <w:spacing w:line="360" w:lineRule="auto"/>
              <w:jc w:val="center"/>
              <w:rPr>
                <w:rFonts w:ascii="宋体" w:hAnsi="宋体"/>
                <w:szCs w:val="21"/>
                <w:highlight w:val="none"/>
              </w:rPr>
            </w:pPr>
            <w:r>
              <w:rPr>
                <w:rFonts w:hint="eastAsia" w:ascii="宋体" w:hAnsi="宋体"/>
                <w:szCs w:val="21"/>
                <w:highlight w:val="none"/>
              </w:rPr>
              <w:t>投标技术参数</w:t>
            </w:r>
          </w:p>
        </w:tc>
        <w:tc>
          <w:tcPr>
            <w:tcW w:w="1156" w:type="dxa"/>
            <w:vAlign w:val="center"/>
          </w:tcPr>
          <w:p>
            <w:pPr>
              <w:spacing w:line="360" w:lineRule="auto"/>
              <w:jc w:val="center"/>
              <w:rPr>
                <w:rFonts w:ascii="宋体" w:hAnsi="宋体"/>
                <w:szCs w:val="21"/>
                <w:highlight w:val="none"/>
              </w:rPr>
            </w:pPr>
            <w:r>
              <w:rPr>
                <w:rFonts w:hint="eastAsia" w:ascii="宋体" w:hAnsi="宋体"/>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室外公共交通梯级链</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2</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扶梯手扶带</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3</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梯级</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4</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梯级轮</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安全工控板</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6</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室外型回转链</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7</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涨紧轮组</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8</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驱动测速传感器</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9</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扶梯运行指示灯</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10</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室外扶梯钥匙盒</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11</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eastAsia="zh-CN"/>
              </w:rPr>
              <w:t>分体式摩擦轮</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12</w:t>
            </w:r>
          </w:p>
        </w:tc>
        <w:tc>
          <w:tcPr>
            <w:tcW w:w="2069" w:type="dxa"/>
            <w:vAlign w:val="top"/>
          </w:tcPr>
          <w:p>
            <w:pPr>
              <w:spacing w:line="360" w:lineRule="auto"/>
              <w:jc w:val="center"/>
              <w:rPr>
                <w:rFonts w:hint="eastAsia" w:ascii="宋体" w:hAnsi="宋体"/>
                <w:szCs w:val="21"/>
                <w:highlight w:val="none"/>
              </w:rPr>
            </w:pPr>
            <w:r>
              <w:rPr>
                <w:rFonts w:hint="eastAsia" w:ascii="宋体" w:hAnsi="宋体"/>
                <w:szCs w:val="21"/>
                <w:highlight w:val="none"/>
                <w:lang w:val="en-US" w:eastAsia="zh-CN"/>
              </w:rPr>
              <w:t>驱动链</w:t>
            </w:r>
          </w:p>
        </w:tc>
        <w:tc>
          <w:tcPr>
            <w:tcW w:w="2370" w:type="dxa"/>
            <w:vAlign w:val="top"/>
          </w:tcPr>
          <w:p>
            <w:pPr>
              <w:spacing w:line="360" w:lineRule="auto"/>
              <w:jc w:val="center"/>
              <w:rPr>
                <w:rFonts w:hint="eastAsia" w:ascii="宋体" w:hAnsi="宋体"/>
                <w:szCs w:val="21"/>
                <w:highlight w:val="none"/>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top"/>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13</w:t>
            </w:r>
          </w:p>
        </w:tc>
        <w:tc>
          <w:tcPr>
            <w:tcW w:w="2069" w:type="dxa"/>
            <w:vAlign w:val="top"/>
          </w:tcPr>
          <w:p>
            <w:pPr>
              <w:spacing w:line="360" w:lineRule="auto"/>
              <w:jc w:val="center"/>
              <w:rPr>
                <w:rFonts w:hint="eastAsia"/>
                <w:highlight w:val="none"/>
                <w:lang w:eastAsia="zh-CN"/>
              </w:rPr>
            </w:pPr>
            <w:r>
              <w:rPr>
                <w:rFonts w:hint="eastAsia"/>
                <w:highlight w:val="none"/>
                <w:lang w:eastAsia="zh-CN"/>
              </w:rPr>
              <w:t>前沿板拉杆</w:t>
            </w:r>
          </w:p>
          <w:p>
            <w:pPr>
              <w:pStyle w:val="2"/>
              <w:rPr>
                <w:rFonts w:hint="eastAsia" w:ascii="宋体" w:hAnsi="宋体"/>
                <w:szCs w:val="21"/>
                <w:highlight w:val="none"/>
                <w:lang w:eastAsia="zh-CN"/>
              </w:rPr>
            </w:pPr>
          </w:p>
          <w:p>
            <w:pPr>
              <w:pStyle w:val="2"/>
              <w:rPr>
                <w:rFonts w:hint="eastAsia" w:ascii="宋体" w:hAnsi="宋体"/>
                <w:szCs w:val="21"/>
                <w:highlight w:val="none"/>
                <w:lang w:eastAsia="zh-CN"/>
              </w:rPr>
            </w:pPr>
          </w:p>
        </w:tc>
        <w:tc>
          <w:tcPr>
            <w:tcW w:w="2370" w:type="dxa"/>
            <w:vAlign w:val="top"/>
          </w:tcPr>
          <w:p>
            <w:pPr>
              <w:spacing w:line="360" w:lineRule="auto"/>
              <w:jc w:val="center"/>
              <w:rPr>
                <w:rFonts w:hint="eastAsia"/>
                <w:highlight w:val="none"/>
              </w:rPr>
            </w:pPr>
          </w:p>
          <w:p>
            <w:pPr>
              <w:pStyle w:val="2"/>
              <w:rPr>
                <w:rFonts w:hint="eastAsia"/>
                <w:highlight w:val="none"/>
              </w:rPr>
            </w:pPr>
          </w:p>
        </w:tc>
        <w:tc>
          <w:tcPr>
            <w:tcW w:w="2370" w:type="dxa"/>
            <w:vAlign w:val="center"/>
          </w:tcPr>
          <w:p>
            <w:pPr>
              <w:spacing w:line="360" w:lineRule="auto"/>
              <w:jc w:val="center"/>
              <w:rPr>
                <w:highlight w:val="none"/>
              </w:rPr>
            </w:pPr>
          </w:p>
          <w:p>
            <w:pPr>
              <w:pStyle w:val="2"/>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tc>
        <w:tc>
          <w:tcPr>
            <w:tcW w:w="1156" w:type="dxa"/>
            <w:vAlign w:val="center"/>
          </w:tcPr>
          <w:p>
            <w:pPr>
              <w:spacing w:line="360" w:lineRule="auto"/>
              <w:jc w:val="center"/>
              <w:rPr>
                <w:highlight w:val="none"/>
              </w:rPr>
            </w:pPr>
          </w:p>
          <w:p>
            <w:pPr>
              <w:pStyle w:val="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695" w:type="dxa"/>
            <w:vAlign w:val="top"/>
          </w:tcPr>
          <w:p>
            <w:pPr>
              <w:spacing w:line="360" w:lineRule="auto"/>
              <w:jc w:val="center"/>
              <w:rPr>
                <w:rFonts w:hint="eastAsia" w:ascii="宋体" w:hAnsi="宋体"/>
                <w:szCs w:val="21"/>
                <w:highlight w:val="none"/>
                <w:lang w:val="en-US" w:eastAsia="zh-CN"/>
              </w:rPr>
            </w:pPr>
          </w:p>
        </w:tc>
        <w:tc>
          <w:tcPr>
            <w:tcW w:w="4439" w:type="dxa"/>
            <w:gridSpan w:val="2"/>
            <w:vAlign w:val="center"/>
          </w:tcPr>
          <w:p>
            <w:pPr>
              <w:pStyle w:val="2"/>
              <w:ind w:left="420" w:leftChars="200" w:firstLine="270" w:firstLineChars="129"/>
              <w:rPr>
                <w:rFonts w:hint="eastAsia" w:ascii="宋体" w:hAnsi="宋体"/>
                <w:szCs w:val="21"/>
                <w:highlight w:val="none"/>
                <w:lang w:val="en-US" w:eastAsia="zh-CN"/>
              </w:rPr>
            </w:pPr>
            <w:r>
              <w:rPr>
                <w:rFonts w:hint="eastAsia" w:ascii="宋体" w:hAnsi="宋体" w:cs="宋体"/>
                <w:szCs w:val="21"/>
                <w:highlight w:val="none"/>
              </w:rPr>
              <w:t>投标服务内容质量要求</w:t>
            </w: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tc>
        <w:tc>
          <w:tcPr>
            <w:tcW w:w="3526" w:type="dxa"/>
            <w:gridSpan w:val="2"/>
            <w:vAlign w:val="center"/>
          </w:tcPr>
          <w:p>
            <w:pPr>
              <w:spacing w:line="360" w:lineRule="auto"/>
              <w:jc w:val="center"/>
              <w:rPr>
                <w:rFonts w:ascii="宋体" w:hAnsi="宋体"/>
                <w:b/>
                <w:szCs w:val="21"/>
                <w:highlight w:val="none"/>
              </w:rPr>
            </w:pPr>
            <w:r>
              <w:rPr>
                <w:rFonts w:hint="eastAsia" w:ascii="宋体" w:hAnsi="宋体"/>
                <w:szCs w:val="21"/>
                <w:highlight w:val="none"/>
              </w:rPr>
              <w:t>响应情况</w:t>
            </w:r>
          </w:p>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center"/>
          </w:tcPr>
          <w:p>
            <w:pPr>
              <w:spacing w:line="36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1</w:t>
            </w:r>
          </w:p>
        </w:tc>
        <w:tc>
          <w:tcPr>
            <w:tcW w:w="4439" w:type="dxa"/>
            <w:gridSpan w:val="2"/>
            <w:vAlign w:val="center"/>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电梯大修主要服务内容</w:t>
            </w: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center"/>
          </w:tcPr>
          <w:p>
            <w:pPr>
              <w:spacing w:line="36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4439" w:type="dxa"/>
            <w:gridSpan w:val="2"/>
            <w:vAlign w:val="center"/>
          </w:tcPr>
          <w:p>
            <w:pPr>
              <w:spacing w:line="360"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其他服务要求</w:t>
            </w: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5" w:type="dxa"/>
            <w:vAlign w:val="center"/>
          </w:tcPr>
          <w:p>
            <w:pPr>
              <w:spacing w:line="360" w:lineRule="auto"/>
              <w:jc w:val="center"/>
              <w:rPr>
                <w:rFonts w:hint="default" w:ascii="宋体" w:hAnsi="宋体"/>
                <w:szCs w:val="21"/>
                <w:highlight w:val="none"/>
                <w:lang w:val="en-US" w:eastAsia="zh-CN"/>
              </w:rPr>
            </w:pPr>
          </w:p>
        </w:tc>
        <w:tc>
          <w:tcPr>
            <w:tcW w:w="4439" w:type="dxa"/>
            <w:gridSpan w:val="2"/>
            <w:vAlign w:val="center"/>
          </w:tcPr>
          <w:p>
            <w:pPr>
              <w:spacing w:line="360" w:lineRule="auto"/>
              <w:jc w:val="center"/>
              <w:rPr>
                <w:rFonts w:hint="eastAsia" w:ascii="宋体" w:hAnsi="宋体"/>
                <w:szCs w:val="21"/>
                <w:highlight w:val="none"/>
                <w:lang w:val="en-US" w:eastAsia="zh-CN"/>
              </w:rPr>
            </w:pPr>
          </w:p>
        </w:tc>
        <w:tc>
          <w:tcPr>
            <w:tcW w:w="2370" w:type="dxa"/>
            <w:vAlign w:val="center"/>
          </w:tcPr>
          <w:p>
            <w:pPr>
              <w:spacing w:line="360" w:lineRule="auto"/>
              <w:jc w:val="center"/>
              <w:rPr>
                <w:rFonts w:ascii="宋体" w:hAnsi="宋体"/>
                <w:szCs w:val="21"/>
                <w:highlight w:val="none"/>
              </w:rPr>
            </w:pPr>
          </w:p>
        </w:tc>
        <w:tc>
          <w:tcPr>
            <w:tcW w:w="1156" w:type="dxa"/>
            <w:vAlign w:val="center"/>
          </w:tcPr>
          <w:p>
            <w:pPr>
              <w:spacing w:line="360" w:lineRule="auto"/>
              <w:jc w:val="center"/>
              <w:rPr>
                <w:rFonts w:ascii="宋体" w:hAnsi="宋体"/>
                <w:szCs w:val="21"/>
                <w:highlight w:val="none"/>
              </w:rPr>
            </w:pPr>
          </w:p>
        </w:tc>
      </w:tr>
    </w:tbl>
    <w:p>
      <w:pPr>
        <w:pStyle w:val="2"/>
        <w:ind w:left="0" w:leftChars="0" w:firstLine="0" w:firstLineChars="0"/>
        <w:rPr>
          <w:rFonts w:hint="eastAsia" w:ascii="宋体" w:hAnsi="宋体" w:cs="宋体"/>
          <w:szCs w:val="21"/>
          <w:highlight w:val="none"/>
        </w:rPr>
      </w:pPr>
    </w:p>
    <w:p>
      <w:pPr>
        <w:tabs>
          <w:tab w:val="left" w:pos="1815"/>
        </w:tabs>
        <w:spacing w:line="360" w:lineRule="auto"/>
        <w:ind w:firstLine="413" w:firstLineChars="196"/>
        <w:rPr>
          <w:rFonts w:ascii="宋体" w:hAnsi="宋体" w:cs="宋体"/>
          <w:b/>
          <w:szCs w:val="21"/>
          <w:highlight w:val="none"/>
        </w:rPr>
      </w:pPr>
      <w:r>
        <w:rPr>
          <w:rFonts w:hint="eastAsia" w:ascii="宋体" w:hAnsi="宋体" w:cs="宋体"/>
          <w:b/>
          <w:szCs w:val="21"/>
          <w:highlight w:val="none"/>
        </w:rPr>
        <w:t>注：</w:t>
      </w:r>
    </w:p>
    <w:p>
      <w:pPr>
        <w:tabs>
          <w:tab w:val="left" w:pos="1815"/>
        </w:tabs>
        <w:spacing w:line="360" w:lineRule="auto"/>
        <w:ind w:firstLine="411" w:firstLineChars="196"/>
        <w:rPr>
          <w:rFonts w:ascii="宋体" w:hAnsi="宋体" w:cs="宋体"/>
          <w:szCs w:val="21"/>
          <w:highlight w:val="none"/>
        </w:rPr>
      </w:pPr>
      <w:r>
        <w:rPr>
          <w:rFonts w:hint="eastAsia" w:ascii="宋体" w:hAnsi="宋体" w:cs="宋体"/>
          <w:szCs w:val="21"/>
          <w:highlight w:val="none"/>
        </w:rPr>
        <w:t>1、谈判响应人必须将自己所投服务真实、准确地填入以上表格中。</w:t>
      </w:r>
    </w:p>
    <w:p>
      <w:pPr>
        <w:tabs>
          <w:tab w:val="left" w:pos="1815"/>
        </w:tabs>
        <w:spacing w:line="360" w:lineRule="auto"/>
        <w:ind w:left="1" w:firstLine="417" w:firstLineChars="199"/>
        <w:rPr>
          <w:rFonts w:hint="eastAsia" w:ascii="宋体" w:hAnsi="宋体" w:cs="宋体"/>
          <w:szCs w:val="21"/>
          <w:highlight w:val="none"/>
        </w:rPr>
      </w:pPr>
      <w:r>
        <w:rPr>
          <w:rFonts w:hint="eastAsia" w:ascii="宋体" w:hAnsi="宋体" w:cs="宋体"/>
          <w:szCs w:val="21"/>
          <w:highlight w:val="none"/>
        </w:rPr>
        <w:t>2、谈判响应人必须根据自己所投</w:t>
      </w:r>
      <w:r>
        <w:rPr>
          <w:rFonts w:hint="eastAsia" w:ascii="宋体" w:hAnsi="宋体" w:cs="宋体"/>
          <w:szCs w:val="21"/>
          <w:highlight w:val="none"/>
          <w:lang w:val="en-US" w:eastAsia="zh-CN"/>
        </w:rPr>
        <w:t>货物、</w:t>
      </w:r>
      <w:r>
        <w:rPr>
          <w:rFonts w:hint="eastAsia" w:ascii="宋体" w:hAnsi="宋体" w:cs="宋体"/>
          <w:szCs w:val="21"/>
          <w:highlight w:val="none"/>
        </w:rPr>
        <w:t>服务与“服务需求及技术要求”的差异情况，实事求是地填写“响应情况”（优于、满足、不满足） 。</w:t>
      </w:r>
    </w:p>
    <w:p>
      <w:pPr>
        <w:pStyle w:val="2"/>
        <w:ind w:left="420" w:leftChars="200" w:firstLine="63" w:firstLineChars="30"/>
        <w:rPr>
          <w:highlight w:val="none"/>
        </w:rPr>
      </w:pPr>
      <w:r>
        <w:rPr>
          <w:rFonts w:hint="eastAsia"/>
          <w:highlight w:val="none"/>
          <w:lang w:val="en-US" w:eastAsia="zh-CN"/>
        </w:rPr>
        <w:t>3</w:t>
      </w:r>
      <w:r>
        <w:rPr>
          <w:rFonts w:hint="eastAsia"/>
          <w:highlight w:val="none"/>
        </w:rPr>
        <w:t>、服务内容无需注明生产厂家、品牌型号。</w:t>
      </w:r>
    </w:p>
    <w:p>
      <w:pPr>
        <w:tabs>
          <w:tab w:val="left" w:pos="1815"/>
        </w:tabs>
        <w:spacing w:line="360" w:lineRule="auto"/>
        <w:ind w:firstLine="420" w:firstLineChars="200"/>
        <w:rPr>
          <w:rFonts w:ascii="宋体" w:hAnsi="宋体" w:cs="宋体"/>
          <w:szCs w:val="21"/>
          <w:highlight w:val="none"/>
        </w:rPr>
      </w:pPr>
    </w:p>
    <w:p>
      <w:pPr>
        <w:spacing w:line="360" w:lineRule="auto"/>
        <w:ind w:firstLine="3561" w:firstLineChars="1696"/>
        <w:jc w:val="right"/>
        <w:rPr>
          <w:rFonts w:hint="eastAsia" w:ascii="宋体" w:hAnsi="宋体" w:cs="宋体"/>
          <w:color w:val="auto"/>
          <w:szCs w:val="21"/>
          <w:highlight w:val="none"/>
        </w:rPr>
      </w:pPr>
      <w:r>
        <w:rPr>
          <w:rFonts w:hint="eastAsia" w:ascii="宋体" w:hAnsi="宋体" w:cs="宋体"/>
          <w:color w:val="auto"/>
          <w:szCs w:val="21"/>
          <w:highlight w:val="none"/>
        </w:rPr>
        <w:t>谈判响应人：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pStyle w:val="17"/>
        <w:jc w:val="right"/>
        <w:rPr>
          <w:rFonts w:hint="eastAsia"/>
          <w:highlight w:val="none"/>
        </w:rPr>
      </w:pPr>
    </w:p>
    <w:p>
      <w:pPr>
        <w:pStyle w:val="17"/>
        <w:jc w:val="right"/>
        <w:rPr>
          <w:highlight w:val="none"/>
        </w:rPr>
      </w:pPr>
    </w:p>
    <w:p>
      <w:pPr>
        <w:spacing w:line="360" w:lineRule="auto"/>
        <w:ind w:firstLine="3465" w:firstLineChars="1650"/>
        <w:jc w:val="right"/>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pStyle w:val="17"/>
        <w:jc w:val="right"/>
        <w:rPr>
          <w:rFonts w:hint="eastAsia"/>
          <w:highlight w:val="none"/>
        </w:rPr>
      </w:pPr>
    </w:p>
    <w:p>
      <w:pPr>
        <w:pStyle w:val="17"/>
        <w:jc w:val="right"/>
        <w:rPr>
          <w:highlight w:val="none"/>
        </w:rPr>
      </w:pPr>
    </w:p>
    <w:p>
      <w:pPr>
        <w:spacing w:line="360" w:lineRule="auto"/>
        <w:ind w:firstLine="3570" w:firstLineChars="1700"/>
        <w:jc w:val="right"/>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widowControl/>
        <w:jc w:val="left"/>
        <w:rPr>
          <w:rFonts w:ascii="宋体" w:hAnsi="宋体" w:cs="宋体"/>
          <w:szCs w:val="21"/>
          <w:highlight w:val="none"/>
        </w:rPr>
      </w:pPr>
      <w:r>
        <w:rPr>
          <w:rFonts w:ascii="宋体" w:hAnsi="宋体" w:cs="宋体"/>
          <w:szCs w:val="21"/>
          <w:highlight w:val="none"/>
        </w:rPr>
        <w:br w:type="page"/>
      </w:r>
    </w:p>
    <w:p>
      <w:pPr>
        <w:pStyle w:val="6"/>
        <w:jc w:val="center"/>
        <w:rPr>
          <w:rFonts w:hAnsi="宋体" w:cs="宋体"/>
          <w:highlight w:val="none"/>
          <w:bdr w:val="single" w:color="auto" w:sz="4" w:space="0"/>
        </w:rPr>
      </w:pPr>
      <w:bookmarkStart w:id="99" w:name="_Toc2920"/>
      <w:bookmarkStart w:id="100" w:name="_Toc8668"/>
      <w:bookmarkStart w:id="101" w:name="_Toc54939205"/>
      <w:r>
        <w:rPr>
          <w:rFonts w:hint="eastAsia" w:hAnsi="宋体" w:cs="宋体"/>
          <w:highlight w:val="none"/>
        </w:rPr>
        <w:t>四、</w:t>
      </w:r>
      <w:bookmarkEnd w:id="99"/>
      <w:r>
        <w:rPr>
          <w:rFonts w:hint="eastAsia" w:hAnsi="宋体" w:cs="宋体"/>
          <w:highlight w:val="none"/>
        </w:rPr>
        <w:t>服务方案</w:t>
      </w:r>
      <w:bookmarkEnd w:id="100"/>
      <w:bookmarkEnd w:id="101"/>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谈判响应人依据第三章“服务需求及技术要求”自行提供。</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1、服务方案</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、服务保证及服务承诺</w:t>
      </w:r>
    </w:p>
    <w:p>
      <w:pPr>
        <w:spacing w:line="360" w:lineRule="auto"/>
        <w:ind w:firstLine="420" w:firstLineChars="200"/>
        <w:rPr>
          <w:rFonts w:ascii="宋体" w:hAnsi="宋体" w:cs="宋体"/>
          <w:spacing w:val="-4"/>
          <w:kern w:val="0"/>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、谈判响应人认为需要提供的其他资料</w:t>
      </w:r>
    </w:p>
    <w:p>
      <w:pPr>
        <w:spacing w:line="360" w:lineRule="auto"/>
        <w:ind w:firstLine="420" w:firstLineChars="200"/>
        <w:rPr>
          <w:rFonts w:ascii="宋体" w:hAnsi="宋体" w:cs="宋体"/>
          <w:szCs w:val="21"/>
          <w:highlight w:val="none"/>
        </w:rPr>
      </w:pPr>
    </w:p>
    <w:p>
      <w:pPr>
        <w:spacing w:line="360" w:lineRule="auto"/>
        <w:ind w:firstLine="404" w:firstLineChars="200"/>
        <w:rPr>
          <w:rFonts w:ascii="宋体" w:hAnsi="宋体" w:cs="宋体"/>
          <w:spacing w:val="-4"/>
          <w:kern w:val="0"/>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rPr>
          <w:rFonts w:ascii="宋体" w:hAnsi="宋体" w:cs="宋体"/>
          <w:szCs w:val="21"/>
          <w:highlight w:val="none"/>
        </w:rPr>
      </w:pPr>
    </w:p>
    <w:p>
      <w:pPr>
        <w:pStyle w:val="6"/>
        <w:jc w:val="center"/>
        <w:rPr>
          <w:rFonts w:hAnsi="宋体" w:cs="宋体"/>
          <w:color w:val="000000"/>
          <w:highlight w:val="none"/>
        </w:rPr>
      </w:pPr>
      <w:bookmarkStart w:id="102" w:name="_Toc54939206"/>
      <w:bookmarkStart w:id="103" w:name="_Toc25547"/>
      <w:r>
        <w:rPr>
          <w:rFonts w:hint="eastAsia" w:hAnsi="宋体" w:cs="宋体"/>
          <w:color w:val="000000"/>
          <w:highlight w:val="none"/>
        </w:rPr>
        <w:t>五、诚信谈判响应承诺书</w:t>
      </w:r>
      <w:bookmarkEnd w:id="102"/>
      <w:bookmarkEnd w:id="103"/>
    </w:p>
    <w:p>
      <w:pPr>
        <w:rPr>
          <w:rFonts w:ascii="宋体" w:hAnsi="宋体" w:cs="宋体"/>
          <w:b/>
          <w:bCs/>
          <w:color w:val="000000"/>
          <w:sz w:val="24"/>
          <w:highlight w:val="none"/>
        </w:rPr>
      </w:pP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本人以企业法定代表人的身份郑重承诺：</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一、将遵循公开、公正和诚实信用的原则自愿参加</w:t>
      </w:r>
      <w:r>
        <w:rPr>
          <w:rFonts w:hint="eastAsia" w:ascii="宋体" w:hAnsi="宋体" w:cs="宋体"/>
          <w:b/>
          <w:bCs/>
          <w:color w:val="000000"/>
          <w:szCs w:val="21"/>
          <w:highlight w:val="none"/>
          <w:u w:val="single"/>
        </w:rPr>
        <w:t xml:space="preserve">                </w:t>
      </w:r>
      <w:r>
        <w:rPr>
          <w:rFonts w:hint="eastAsia" w:ascii="宋体" w:hAnsi="宋体" w:cs="宋体"/>
          <w:b/>
          <w:bCs/>
          <w:color w:val="000000"/>
          <w:szCs w:val="21"/>
          <w:highlight w:val="none"/>
        </w:rPr>
        <w:t>项目的竞争性谈判活动；</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 xml:space="preserve">二、所提供的一切材料都是真实、有效、合法的；  </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 xml:space="preserve">六、严格遵守开标现场纪律，服从监管人员管理；  </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七、保证成交后不转包，若有合法分包征得采购人同意；</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八、保证成交之后，按照谈判响应文件承诺提供货物、服务及派驻人员；</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九、保证企业及所属相关人员在本次谈判响应中无行贿等犯罪行为；</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highlight w:val="none"/>
        </w:rPr>
      </w:pPr>
      <w:r>
        <w:rPr>
          <w:rFonts w:hint="eastAsia" w:ascii="宋体" w:hAnsi="宋体" w:cs="宋体"/>
          <w:b/>
          <w:bCs/>
          <w:color w:val="000000"/>
          <w:szCs w:val="21"/>
          <w:highlight w:val="none"/>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highlight w:val="none"/>
        </w:rPr>
      </w:pPr>
      <w:r>
        <w:rPr>
          <w:rFonts w:hint="eastAsia" w:ascii="宋体" w:hAnsi="宋体" w:cs="宋体"/>
          <w:b/>
          <w:bCs/>
          <w:color w:val="000000"/>
          <w:szCs w:val="21"/>
          <w:highlight w:val="none"/>
        </w:rPr>
        <w:t xml:space="preserve">  </w:t>
      </w:r>
    </w:p>
    <w:p>
      <w:pPr>
        <w:jc w:val="center"/>
        <w:rPr>
          <w:rFonts w:ascii="宋体" w:hAnsi="宋体" w:cs="宋体"/>
          <w:b/>
          <w:bCs/>
          <w:color w:val="auto"/>
          <w:szCs w:val="21"/>
          <w:highlight w:val="none"/>
        </w:rPr>
      </w:pPr>
      <w:bookmarkStart w:id="104" w:name="_Toc22272"/>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 xml:space="preserve">   谈判响应单位（盖章）：</w:t>
      </w:r>
    </w:p>
    <w:p>
      <w:pPr>
        <w:jc w:val="right"/>
        <w:rPr>
          <w:rFonts w:ascii="宋体" w:hAnsi="宋体" w:cs="宋体"/>
          <w:b/>
          <w:bCs/>
          <w:color w:val="auto"/>
          <w:szCs w:val="21"/>
          <w:highlight w:val="none"/>
        </w:rPr>
      </w:pPr>
    </w:p>
    <w:p>
      <w:pPr>
        <w:spacing w:line="360" w:lineRule="auto"/>
        <w:ind w:firstLine="3479" w:firstLineChars="1650"/>
        <w:rPr>
          <w:rFonts w:ascii="宋体" w:hAnsi="宋体" w:cs="宋体"/>
          <w:b/>
          <w:bCs/>
          <w:color w:val="auto"/>
          <w:szCs w:val="21"/>
          <w:highlight w:val="none"/>
        </w:rPr>
      </w:pPr>
      <w:r>
        <w:rPr>
          <w:rFonts w:hint="eastAsia" w:ascii="宋体" w:hAnsi="宋体" w:cs="宋体"/>
          <w:b/>
          <w:bCs/>
          <w:color w:val="auto"/>
          <w:szCs w:val="21"/>
          <w:highlight w:val="none"/>
        </w:rPr>
        <w:t xml:space="preserve">     法定代表人或委托代理人：</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（签字或盖章）</w:t>
      </w:r>
    </w:p>
    <w:p>
      <w:pPr>
        <w:jc w:val="center"/>
        <w:rPr>
          <w:rFonts w:ascii="宋体" w:hAnsi="宋体" w:cs="宋体"/>
          <w:b/>
          <w:bCs/>
          <w:color w:val="auto"/>
          <w:szCs w:val="21"/>
          <w:highlight w:val="none"/>
        </w:rPr>
      </w:pPr>
    </w:p>
    <w:p>
      <w:pPr>
        <w:jc w:val="right"/>
        <w:rPr>
          <w:rFonts w:ascii="宋体" w:hAnsi="宋体" w:cs="宋体"/>
          <w:b/>
          <w:bCs/>
          <w:color w:val="auto"/>
          <w:szCs w:val="21"/>
          <w:highlight w:val="none"/>
        </w:rPr>
      </w:pPr>
    </w:p>
    <w:p>
      <w:pPr>
        <w:ind w:right="480"/>
        <w:jc w:val="center"/>
        <w:rPr>
          <w:rFonts w:ascii="宋体" w:hAnsi="宋体" w:cs="宋体"/>
          <w:b/>
          <w:bCs/>
          <w:color w:val="auto"/>
          <w:sz w:val="24"/>
          <w:highlight w:val="none"/>
        </w:rPr>
      </w:pPr>
      <w:r>
        <w:rPr>
          <w:rFonts w:hint="eastAsia" w:ascii="宋体" w:hAnsi="宋体" w:cs="宋体"/>
          <w:b/>
          <w:bCs/>
          <w:color w:val="auto"/>
          <w:szCs w:val="21"/>
          <w:highlight w:val="none"/>
        </w:rPr>
        <w:t xml:space="preserve">                                               日期：_____年____月____日</w:t>
      </w:r>
    </w:p>
    <w:p>
      <w:pPr>
        <w:widowControl/>
        <w:jc w:val="left"/>
        <w:rPr>
          <w:rFonts w:ascii="宋体" w:hAnsi="宋体" w:cs="宋体"/>
          <w:b/>
          <w:bCs/>
          <w:color w:val="000000"/>
          <w:sz w:val="24"/>
          <w:highlight w:val="none"/>
        </w:rPr>
      </w:pPr>
      <w:r>
        <w:rPr>
          <w:rFonts w:ascii="宋体" w:hAnsi="宋体" w:cs="宋体"/>
          <w:b/>
          <w:bCs/>
          <w:color w:val="000000"/>
          <w:sz w:val="24"/>
          <w:highlight w:val="none"/>
        </w:rPr>
        <w:br w:type="page"/>
      </w:r>
    </w:p>
    <w:p>
      <w:pPr>
        <w:pStyle w:val="6"/>
        <w:jc w:val="center"/>
        <w:rPr>
          <w:rFonts w:hAnsi="宋体" w:cs="宋体"/>
          <w:color w:val="000000"/>
          <w:highlight w:val="none"/>
          <w:bdr w:val="single" w:color="auto" w:sz="4" w:space="0"/>
        </w:rPr>
      </w:pPr>
      <w:bookmarkStart w:id="105" w:name="_Toc54939209"/>
      <w:r>
        <w:rPr>
          <w:rFonts w:hint="eastAsia" w:hAnsi="宋体" w:cs="宋体"/>
          <w:color w:val="000000"/>
          <w:highlight w:val="none"/>
          <w:lang w:val="en-US" w:eastAsia="zh-CN"/>
        </w:rPr>
        <w:t>六</w:t>
      </w:r>
      <w:r>
        <w:rPr>
          <w:rFonts w:hint="eastAsia" w:hAnsi="宋体" w:cs="宋体"/>
          <w:color w:val="000000"/>
          <w:highlight w:val="none"/>
        </w:rPr>
        <w:t>、</w:t>
      </w:r>
      <w:r>
        <w:rPr>
          <w:rFonts w:hint="eastAsia" w:hAnsi="宋体" w:cs="宋体"/>
          <w:color w:val="000000"/>
          <w:highlight w:val="none"/>
          <w:lang w:val="en-US" w:eastAsia="zh-CN"/>
        </w:rPr>
        <w:t>谈判</w:t>
      </w:r>
      <w:r>
        <w:rPr>
          <w:rFonts w:hint="eastAsia" w:hAnsi="宋体" w:cs="宋体"/>
          <w:color w:val="000000"/>
          <w:highlight w:val="none"/>
        </w:rPr>
        <w:t>证明</w:t>
      </w:r>
      <w:bookmarkEnd w:id="104"/>
      <w:bookmarkEnd w:id="105"/>
      <w:r>
        <w:rPr>
          <w:rFonts w:hint="eastAsia" w:hAnsi="宋体" w:cs="宋体"/>
          <w:color w:val="000000"/>
          <w:highlight w:val="none"/>
        </w:rPr>
        <w:t>材料</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1、营业执照；</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2、税务登记证；</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（如为三证合一的，只需提供三证合一的营业执照）</w:t>
      </w:r>
    </w:p>
    <w:p>
      <w:pPr>
        <w:pStyle w:val="24"/>
        <w:ind w:firstLine="422" w:firstLineChars="200"/>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3、具有自动扶梯的安装、维修（或修理）资质（有效期内）。</w:t>
      </w:r>
    </w:p>
    <w:p>
      <w:pPr>
        <w:spacing w:line="360" w:lineRule="auto"/>
        <w:ind w:left="422"/>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、供应商声明函：</w:t>
      </w:r>
    </w:p>
    <w:p>
      <w:pPr>
        <w:spacing w:line="360" w:lineRule="auto"/>
        <w:ind w:left="422"/>
        <w:jc w:val="center"/>
        <w:rPr>
          <w:rFonts w:ascii="宋体" w:hAnsi="宋体"/>
          <w:b/>
          <w:bCs/>
          <w:szCs w:val="21"/>
          <w:highlight w:val="none"/>
        </w:rPr>
      </w:pPr>
      <w:r>
        <w:rPr>
          <w:rFonts w:hint="eastAsia" w:ascii="宋体" w:hAnsi="宋体"/>
          <w:b/>
          <w:bCs/>
          <w:szCs w:val="21"/>
          <w:highlight w:val="none"/>
        </w:rPr>
        <w:t>供应商声明函</w:t>
      </w:r>
    </w:p>
    <w:p>
      <w:pPr>
        <w:spacing w:line="360" w:lineRule="auto"/>
        <w:ind w:left="422" w:firstLine="420" w:firstLineChars="200"/>
        <w:rPr>
          <w:rFonts w:ascii="宋体" w:hAnsi="宋体"/>
          <w:szCs w:val="21"/>
          <w:highlight w:val="none"/>
        </w:rPr>
      </w:pPr>
      <w:r>
        <w:rPr>
          <w:rFonts w:hint="eastAsia" w:ascii="宋体" w:hAnsi="宋体"/>
          <w:szCs w:val="21"/>
          <w:highlight w:val="none"/>
        </w:rPr>
        <w:t xml:space="preserve">根据《中华人民共和国政府采购法》及《中华人民共和国政府采购法实施条例》 的规定，本单位郑重声明：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（1）具有独立承担民事责任的能力；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（2）具有良好的商业信誉和健全的财务会计制度；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（3）具有履行合同所必需的设备和专业技术能力；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（4）有依法缴纳税收和社会保障资金的良好记录；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highlight w:val="none"/>
        </w:rPr>
      </w:pPr>
      <w:r>
        <w:rPr>
          <w:rFonts w:hint="eastAsia" w:ascii="宋体" w:hAnsi="宋体"/>
          <w:szCs w:val="21"/>
          <w:highlight w:val="none"/>
        </w:rPr>
        <w:t xml:space="preserve">（6）我单位不在财政部门依法作出的禁止参加政府采购活动的行政处罚期限内；                       </w:t>
      </w:r>
    </w:p>
    <w:p>
      <w:pPr>
        <w:spacing w:line="360" w:lineRule="auto"/>
        <w:ind w:left="420" w:leftChars="200" w:firstLine="420" w:firstLineChars="200"/>
        <w:rPr>
          <w:rFonts w:ascii="宋体" w:hAnsi="宋体"/>
          <w:szCs w:val="21"/>
          <w:highlight w:val="none"/>
        </w:rPr>
      </w:pPr>
      <w:r>
        <w:rPr>
          <w:rFonts w:hint="eastAsia" w:ascii="宋体" w:hAnsi="宋体"/>
          <w:szCs w:val="21"/>
          <w:highlight w:val="none"/>
        </w:rPr>
        <w:t xml:space="preserve">（7）符合法律、行政法规规定的其他条件。                                    </w:t>
      </w:r>
    </w:p>
    <w:p>
      <w:pPr>
        <w:spacing w:line="360" w:lineRule="auto"/>
        <w:ind w:left="422" w:firstLine="420" w:firstLineChars="200"/>
        <w:rPr>
          <w:rFonts w:ascii="宋体" w:hAnsi="宋体"/>
          <w:szCs w:val="21"/>
          <w:highlight w:val="none"/>
        </w:rPr>
      </w:pPr>
      <w:r>
        <w:rPr>
          <w:rFonts w:hint="eastAsia" w:ascii="宋体" w:hAnsi="宋体"/>
          <w:szCs w:val="21"/>
          <w:highlight w:val="none"/>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szCs w:val="21"/>
          <w:highlight w:val="none"/>
        </w:rPr>
      </w:pPr>
      <w:r>
        <w:rPr>
          <w:rFonts w:hint="eastAsia" w:ascii="宋体" w:hAnsi="宋体"/>
          <w:szCs w:val="21"/>
          <w:highlight w:val="none"/>
        </w:rPr>
        <w:t>本单位对上述声明的真实性负责。如有虚假，将依法承担相应责任。</w:t>
      </w:r>
    </w:p>
    <w:p>
      <w:pPr>
        <w:spacing w:line="360" w:lineRule="auto"/>
        <w:ind w:left="422"/>
        <w:rPr>
          <w:rFonts w:ascii="宋体" w:hAnsi="宋体"/>
          <w:szCs w:val="21"/>
          <w:highlight w:val="none"/>
        </w:rPr>
      </w:pPr>
    </w:p>
    <w:p>
      <w:pPr>
        <w:spacing w:line="360" w:lineRule="auto"/>
        <w:ind w:left="422"/>
        <w:rPr>
          <w:rFonts w:ascii="宋体" w:hAnsi="宋体"/>
          <w:szCs w:val="21"/>
          <w:highlight w:val="none"/>
        </w:rPr>
      </w:pPr>
    </w:p>
    <w:p>
      <w:pPr>
        <w:spacing w:line="360" w:lineRule="auto"/>
        <w:ind w:firstLine="420" w:firstLineChars="200"/>
        <w:jc w:val="right"/>
        <w:rPr>
          <w:rFonts w:ascii="宋体" w:hAnsi="宋体"/>
          <w:szCs w:val="21"/>
          <w:highlight w:val="none"/>
        </w:rPr>
      </w:pPr>
      <w:r>
        <w:rPr>
          <w:rFonts w:hint="eastAsia" w:ascii="宋体" w:hAnsi="宋体"/>
          <w:szCs w:val="21"/>
          <w:highlight w:val="none"/>
        </w:rPr>
        <w:t xml:space="preserve">供应商公章：_______________________                                           </w:t>
      </w:r>
    </w:p>
    <w:p>
      <w:pPr>
        <w:spacing w:line="360" w:lineRule="auto"/>
        <w:jc w:val="center"/>
        <w:outlineLvl w:val="2"/>
        <w:rPr>
          <w:rFonts w:asciiTheme="minorEastAsia" w:hAnsiTheme="minorEastAsia" w:eastAsiaTheme="minorEastAsia"/>
          <w:b/>
          <w:sz w:val="24"/>
          <w:highlight w:val="none"/>
        </w:rPr>
      </w:pPr>
      <w:r>
        <w:rPr>
          <w:rFonts w:hint="eastAsia" w:hAnsi="宋体"/>
          <w:szCs w:val="21"/>
          <w:highlight w:val="none"/>
        </w:rPr>
        <w:t xml:space="preserve">               </w:t>
      </w:r>
      <w:r>
        <w:rPr>
          <w:rFonts w:hAnsi="宋体"/>
          <w:szCs w:val="21"/>
          <w:highlight w:val="none"/>
        </w:rPr>
        <w:t xml:space="preserve">                                 </w:t>
      </w:r>
      <w:r>
        <w:rPr>
          <w:rFonts w:hint="eastAsia" w:hAnsi="宋体"/>
          <w:szCs w:val="21"/>
          <w:highlight w:val="none"/>
        </w:rPr>
        <w:t xml:space="preserve"> 日期：       年     月     日</w:t>
      </w:r>
    </w:p>
    <w:p>
      <w:pPr>
        <w:spacing w:line="360" w:lineRule="auto"/>
        <w:ind w:left="422"/>
        <w:rPr>
          <w:rFonts w:ascii="宋体" w:hAnsi="宋体"/>
          <w:szCs w:val="21"/>
          <w:highlight w:val="none"/>
        </w:rPr>
      </w:pPr>
    </w:p>
    <w:p>
      <w:pPr>
        <w:spacing w:line="360" w:lineRule="auto"/>
        <w:ind w:firstLine="420" w:firstLineChars="200"/>
        <w:rPr>
          <w:rFonts w:ascii="宋体" w:hAnsi="宋体" w:cs="宋体"/>
          <w:color w:val="000000"/>
          <w:szCs w:val="21"/>
          <w:highlight w:val="none"/>
        </w:rPr>
      </w:pPr>
    </w:p>
    <w:p>
      <w:pPr>
        <w:numPr>
          <w:ilvl w:val="0"/>
          <w:numId w:val="4"/>
        </w:numPr>
        <w:spacing w:line="360" w:lineRule="auto"/>
        <w:ind w:left="105" w:leftChars="0" w:firstLine="0" w:firstLineChars="0"/>
        <w:rPr>
          <w:rFonts w:hint="eastAsia" w:ascii="宋体" w:hAnsi="宋体"/>
          <w:szCs w:val="21"/>
          <w:highlight w:val="none"/>
        </w:rPr>
      </w:pPr>
      <w:r>
        <w:rPr>
          <w:rFonts w:hint="eastAsia" w:ascii="宋体" w:hAnsi="宋体"/>
          <w:szCs w:val="21"/>
          <w:highlight w:val="none"/>
        </w:rPr>
        <w:t>授权委托书（格式见附件）及其委托代理人有效二代居民身份证，若法定代表人参与投标则不需此件；</w:t>
      </w:r>
    </w:p>
    <w:p>
      <w:pPr>
        <w:numPr>
          <w:ilvl w:val="0"/>
          <w:numId w:val="0"/>
        </w:numPr>
        <w:spacing w:line="360" w:lineRule="auto"/>
        <w:ind w:left="105" w:leftChars="0"/>
        <w:rPr>
          <w:rFonts w:ascii="宋体" w:hAnsi="宋体"/>
          <w:szCs w:val="21"/>
          <w:highlight w:val="none"/>
        </w:rPr>
      </w:pPr>
      <w:r>
        <w:rPr>
          <w:rFonts w:hint="eastAsia" w:ascii="宋体" w:hAnsi="宋体"/>
          <w:szCs w:val="21"/>
          <w:highlight w:val="none"/>
        </w:rPr>
        <w:t>银行、保险、石油化工、电力、电信等特殊行业的分公司取得总公司相关授权的，</w:t>
      </w:r>
      <w:r>
        <w:rPr>
          <w:rFonts w:hint="eastAsia" w:ascii="宋体" w:hAnsi="宋体" w:cs="宋体"/>
          <w:color w:val="000000"/>
          <w:szCs w:val="21"/>
          <w:highlight w:val="none"/>
        </w:rPr>
        <w:t>谈判</w:t>
      </w:r>
      <w:r>
        <w:rPr>
          <w:rFonts w:hint="eastAsia" w:ascii="宋体" w:hAnsi="宋体"/>
          <w:szCs w:val="21"/>
          <w:highlight w:val="none"/>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6、履行合同所必需的设备专业技术能力证明文件 ( </w:t>
      </w:r>
      <w:r>
        <w:rPr>
          <w:rFonts w:hint="eastAsia" w:ascii="宋体" w:hAnsi="宋体"/>
          <w:szCs w:val="21"/>
          <w:highlight w:val="none"/>
        </w:rPr>
        <w:t>根据项目需要，</w:t>
      </w:r>
      <w:r>
        <w:rPr>
          <w:rFonts w:hint="eastAsia" w:ascii="宋体" w:hAnsi="宋体"/>
          <w:szCs w:val="21"/>
          <w:highlight w:val="none"/>
          <w:lang w:val="en-US" w:eastAsia="zh-CN"/>
        </w:rPr>
        <w:t>可选填写</w:t>
      </w:r>
      <w:r>
        <w:rPr>
          <w:rFonts w:hint="eastAsia" w:ascii="宋体" w:hAnsi="宋体" w:cs="宋体"/>
          <w:color w:val="000000"/>
          <w:szCs w:val="21"/>
          <w:highlight w:val="none"/>
        </w:rPr>
        <w:t xml:space="preserve"> )；</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（1）服务于本项目的专业设备一览表</w:t>
      </w:r>
    </w:p>
    <w:tbl>
      <w:tblPr>
        <w:tblStyle w:val="25"/>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29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设备名称</w:t>
            </w:r>
          </w:p>
        </w:tc>
        <w:tc>
          <w:tcPr>
            <w:tcW w:w="145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购入时间</w:t>
            </w:r>
          </w:p>
        </w:tc>
        <w:tc>
          <w:tcPr>
            <w:tcW w:w="9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价值</w:t>
            </w:r>
          </w:p>
        </w:tc>
        <w:tc>
          <w:tcPr>
            <w:tcW w:w="87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4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w:t>
            </w:r>
          </w:p>
        </w:tc>
        <w:tc>
          <w:tcPr>
            <w:tcW w:w="150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highlight w:val="none"/>
              </w:rPr>
            </w:pPr>
          </w:p>
        </w:tc>
        <w:tc>
          <w:tcPr>
            <w:tcW w:w="2292" w:type="dxa"/>
            <w:vAlign w:val="center"/>
          </w:tcPr>
          <w:p>
            <w:pPr>
              <w:spacing w:line="360" w:lineRule="auto"/>
              <w:ind w:firstLine="420" w:firstLineChars="200"/>
              <w:rPr>
                <w:rFonts w:ascii="宋体" w:hAnsi="宋体" w:cs="宋体"/>
                <w:color w:val="000000"/>
                <w:szCs w:val="21"/>
                <w:highlight w:val="none"/>
              </w:rPr>
            </w:pPr>
          </w:p>
        </w:tc>
        <w:tc>
          <w:tcPr>
            <w:tcW w:w="1453" w:type="dxa"/>
            <w:vAlign w:val="center"/>
          </w:tcPr>
          <w:p>
            <w:pPr>
              <w:spacing w:line="360" w:lineRule="auto"/>
              <w:ind w:firstLine="420" w:firstLineChars="200"/>
              <w:rPr>
                <w:rFonts w:ascii="宋体" w:hAnsi="宋体" w:cs="宋体"/>
                <w:color w:val="000000"/>
                <w:szCs w:val="21"/>
                <w:highlight w:val="none"/>
              </w:rPr>
            </w:pPr>
          </w:p>
        </w:tc>
        <w:tc>
          <w:tcPr>
            <w:tcW w:w="934" w:type="dxa"/>
            <w:vAlign w:val="center"/>
          </w:tcPr>
          <w:p>
            <w:pPr>
              <w:spacing w:line="360" w:lineRule="auto"/>
              <w:ind w:firstLine="420" w:firstLineChars="200"/>
              <w:rPr>
                <w:rFonts w:ascii="宋体" w:hAnsi="宋体" w:cs="宋体"/>
                <w:color w:val="000000"/>
                <w:szCs w:val="21"/>
                <w:highlight w:val="none"/>
              </w:rPr>
            </w:pPr>
          </w:p>
        </w:tc>
        <w:tc>
          <w:tcPr>
            <w:tcW w:w="878" w:type="dxa"/>
            <w:vAlign w:val="center"/>
          </w:tcPr>
          <w:p>
            <w:pPr>
              <w:spacing w:line="360" w:lineRule="auto"/>
              <w:ind w:firstLine="420" w:firstLineChars="200"/>
              <w:rPr>
                <w:rFonts w:ascii="宋体" w:hAnsi="宋体" w:cs="宋体"/>
                <w:color w:val="000000"/>
                <w:szCs w:val="21"/>
                <w:highlight w:val="none"/>
              </w:rPr>
            </w:pPr>
          </w:p>
        </w:tc>
        <w:tc>
          <w:tcPr>
            <w:tcW w:w="1495" w:type="dxa"/>
            <w:vAlign w:val="center"/>
          </w:tcPr>
          <w:p>
            <w:pPr>
              <w:spacing w:line="360" w:lineRule="auto"/>
              <w:ind w:firstLine="420" w:firstLineChars="200"/>
              <w:rPr>
                <w:rFonts w:ascii="宋体" w:hAnsi="宋体" w:cs="宋体"/>
                <w:color w:val="000000"/>
                <w:szCs w:val="21"/>
                <w:highlight w:val="none"/>
              </w:rPr>
            </w:pPr>
          </w:p>
        </w:tc>
        <w:tc>
          <w:tcPr>
            <w:tcW w:w="1504" w:type="dxa"/>
            <w:vAlign w:val="center"/>
          </w:tcPr>
          <w:p>
            <w:pPr>
              <w:spacing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highlight w:val="none"/>
              </w:rPr>
            </w:pPr>
          </w:p>
        </w:tc>
        <w:tc>
          <w:tcPr>
            <w:tcW w:w="2292"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    </w:t>
            </w:r>
          </w:p>
        </w:tc>
        <w:tc>
          <w:tcPr>
            <w:tcW w:w="1453" w:type="dxa"/>
            <w:vAlign w:val="center"/>
          </w:tcPr>
          <w:p>
            <w:pPr>
              <w:spacing w:line="360" w:lineRule="auto"/>
              <w:ind w:firstLine="420" w:firstLineChars="200"/>
              <w:rPr>
                <w:rFonts w:ascii="宋体" w:hAnsi="宋体" w:cs="宋体"/>
                <w:color w:val="000000"/>
                <w:szCs w:val="21"/>
                <w:highlight w:val="none"/>
              </w:rPr>
            </w:pPr>
          </w:p>
        </w:tc>
        <w:tc>
          <w:tcPr>
            <w:tcW w:w="934" w:type="dxa"/>
            <w:vAlign w:val="center"/>
          </w:tcPr>
          <w:p>
            <w:pPr>
              <w:spacing w:line="360" w:lineRule="auto"/>
              <w:ind w:firstLine="420" w:firstLineChars="200"/>
              <w:rPr>
                <w:rFonts w:ascii="宋体" w:hAnsi="宋体" w:cs="宋体"/>
                <w:color w:val="000000"/>
                <w:szCs w:val="21"/>
                <w:highlight w:val="none"/>
              </w:rPr>
            </w:pPr>
          </w:p>
        </w:tc>
        <w:tc>
          <w:tcPr>
            <w:tcW w:w="878" w:type="dxa"/>
            <w:vAlign w:val="center"/>
          </w:tcPr>
          <w:p>
            <w:pPr>
              <w:spacing w:line="360" w:lineRule="auto"/>
              <w:ind w:firstLine="420" w:firstLineChars="200"/>
              <w:rPr>
                <w:rFonts w:ascii="宋体" w:hAnsi="宋体" w:cs="宋体"/>
                <w:color w:val="000000"/>
                <w:szCs w:val="21"/>
                <w:highlight w:val="none"/>
              </w:rPr>
            </w:pPr>
          </w:p>
        </w:tc>
        <w:tc>
          <w:tcPr>
            <w:tcW w:w="1495" w:type="dxa"/>
            <w:vAlign w:val="center"/>
          </w:tcPr>
          <w:p>
            <w:pPr>
              <w:spacing w:line="360" w:lineRule="auto"/>
              <w:ind w:firstLine="420" w:firstLineChars="200"/>
              <w:rPr>
                <w:rFonts w:ascii="宋体" w:hAnsi="宋体" w:cs="宋体"/>
                <w:color w:val="000000"/>
                <w:szCs w:val="21"/>
                <w:highlight w:val="none"/>
              </w:rPr>
            </w:pPr>
          </w:p>
        </w:tc>
        <w:tc>
          <w:tcPr>
            <w:tcW w:w="1504" w:type="dxa"/>
            <w:vAlign w:val="center"/>
          </w:tcPr>
          <w:p>
            <w:pPr>
              <w:spacing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highlight w:val="none"/>
              </w:rPr>
            </w:pPr>
          </w:p>
        </w:tc>
        <w:tc>
          <w:tcPr>
            <w:tcW w:w="2292" w:type="dxa"/>
            <w:vAlign w:val="center"/>
          </w:tcPr>
          <w:p>
            <w:pPr>
              <w:spacing w:line="360" w:lineRule="auto"/>
              <w:ind w:firstLine="420" w:firstLineChars="200"/>
              <w:rPr>
                <w:rFonts w:ascii="宋体" w:hAnsi="宋体" w:cs="宋体"/>
                <w:color w:val="000000"/>
                <w:szCs w:val="21"/>
                <w:highlight w:val="none"/>
              </w:rPr>
            </w:pPr>
          </w:p>
        </w:tc>
        <w:tc>
          <w:tcPr>
            <w:tcW w:w="1453" w:type="dxa"/>
            <w:vAlign w:val="center"/>
          </w:tcPr>
          <w:p>
            <w:pPr>
              <w:spacing w:line="360" w:lineRule="auto"/>
              <w:ind w:firstLine="420" w:firstLineChars="200"/>
              <w:rPr>
                <w:rFonts w:ascii="宋体" w:hAnsi="宋体" w:cs="宋体"/>
                <w:color w:val="000000"/>
                <w:szCs w:val="21"/>
                <w:highlight w:val="none"/>
              </w:rPr>
            </w:pPr>
          </w:p>
        </w:tc>
        <w:tc>
          <w:tcPr>
            <w:tcW w:w="934" w:type="dxa"/>
            <w:vAlign w:val="center"/>
          </w:tcPr>
          <w:p>
            <w:pPr>
              <w:spacing w:line="360" w:lineRule="auto"/>
              <w:ind w:firstLine="420" w:firstLineChars="200"/>
              <w:rPr>
                <w:rFonts w:ascii="宋体" w:hAnsi="宋体" w:cs="宋体"/>
                <w:color w:val="000000"/>
                <w:szCs w:val="21"/>
                <w:highlight w:val="none"/>
              </w:rPr>
            </w:pPr>
          </w:p>
        </w:tc>
        <w:tc>
          <w:tcPr>
            <w:tcW w:w="878" w:type="dxa"/>
            <w:vAlign w:val="center"/>
          </w:tcPr>
          <w:p>
            <w:pPr>
              <w:spacing w:line="360" w:lineRule="auto"/>
              <w:ind w:firstLine="420" w:firstLineChars="200"/>
              <w:rPr>
                <w:rFonts w:ascii="宋体" w:hAnsi="宋体" w:cs="宋体"/>
                <w:color w:val="000000"/>
                <w:szCs w:val="21"/>
                <w:highlight w:val="none"/>
              </w:rPr>
            </w:pPr>
          </w:p>
        </w:tc>
        <w:tc>
          <w:tcPr>
            <w:tcW w:w="1495" w:type="dxa"/>
            <w:vAlign w:val="center"/>
          </w:tcPr>
          <w:p>
            <w:pPr>
              <w:spacing w:line="360" w:lineRule="auto"/>
              <w:ind w:firstLine="420" w:firstLineChars="200"/>
              <w:rPr>
                <w:rFonts w:ascii="宋体" w:hAnsi="宋体" w:cs="宋体"/>
                <w:color w:val="000000"/>
                <w:szCs w:val="21"/>
                <w:highlight w:val="none"/>
              </w:rPr>
            </w:pPr>
          </w:p>
        </w:tc>
        <w:tc>
          <w:tcPr>
            <w:tcW w:w="1504" w:type="dxa"/>
            <w:vAlign w:val="center"/>
          </w:tcPr>
          <w:p>
            <w:pPr>
              <w:spacing w:line="360" w:lineRule="auto"/>
              <w:ind w:firstLine="420" w:firstLineChars="200"/>
              <w:rPr>
                <w:rFonts w:ascii="宋体" w:hAnsi="宋体" w:cs="宋体"/>
                <w:color w:val="000000"/>
                <w:szCs w:val="21"/>
                <w:highlight w:val="none"/>
              </w:rPr>
            </w:pPr>
          </w:p>
        </w:tc>
      </w:tr>
    </w:tbl>
    <w:p>
      <w:pPr>
        <w:spacing w:line="360" w:lineRule="auto"/>
        <w:rPr>
          <w:rFonts w:ascii="宋体" w:hAnsi="宋体" w:cs="宋体"/>
          <w:color w:val="000000"/>
          <w:szCs w:val="21"/>
          <w:highlight w:val="none"/>
        </w:rPr>
      </w:pPr>
      <w:r>
        <w:rPr>
          <w:rFonts w:hint="eastAsia" w:ascii="宋体" w:hAnsi="宋体" w:cs="宋体"/>
          <w:color w:val="000000"/>
          <w:szCs w:val="21"/>
          <w:highlight w:val="none"/>
        </w:rPr>
        <w:t>（2）服务本项目人员一览表</w:t>
      </w:r>
    </w:p>
    <w:tbl>
      <w:tblPr>
        <w:tblStyle w:val="25"/>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p>
        </w:tc>
        <w:tc>
          <w:tcPr>
            <w:tcW w:w="987" w:type="dxa"/>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名称</w:t>
            </w:r>
          </w:p>
        </w:tc>
        <w:tc>
          <w:tcPr>
            <w:tcW w:w="1974" w:type="dxa"/>
            <w:vAlign w:val="center"/>
          </w:tcPr>
          <w:p>
            <w:pPr>
              <w:spacing w:before="100" w:beforeAutospacing="1" w:after="100" w:afterAutospacing="1" w:line="360" w:lineRule="auto"/>
              <w:jc w:val="center"/>
              <w:rPr>
                <w:rFonts w:ascii="宋体" w:hAnsi="宋体" w:cs="宋体"/>
                <w:color w:val="000000"/>
                <w:szCs w:val="21"/>
                <w:highlight w:val="none"/>
              </w:rPr>
            </w:pPr>
            <w:r>
              <w:rPr>
                <w:rFonts w:hint="eastAsia" w:ascii="宋体" w:hAnsi="宋体" w:cs="宋体"/>
                <w:color w:val="000000"/>
                <w:szCs w:val="21"/>
                <w:highlight w:val="none"/>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185"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987" w:type="dxa"/>
          </w:tcPr>
          <w:p>
            <w:pPr>
              <w:spacing w:before="100" w:beforeAutospacing="1" w:after="100" w:afterAutospacing="1" w:line="360" w:lineRule="auto"/>
              <w:ind w:firstLine="420" w:firstLineChars="200"/>
              <w:rPr>
                <w:rFonts w:ascii="宋体" w:hAnsi="宋体" w:cs="宋体"/>
                <w:color w:val="000000"/>
                <w:szCs w:val="21"/>
                <w:highlight w:val="none"/>
              </w:rPr>
            </w:pPr>
          </w:p>
        </w:tc>
        <w:tc>
          <w:tcPr>
            <w:tcW w:w="1974" w:type="dxa"/>
          </w:tcPr>
          <w:p>
            <w:pPr>
              <w:spacing w:before="100" w:beforeAutospacing="1" w:after="100" w:afterAutospacing="1" w:line="360" w:lineRule="auto"/>
              <w:ind w:firstLine="420" w:firstLineChars="200"/>
              <w:rPr>
                <w:rFonts w:ascii="宋体" w:hAnsi="宋体" w:cs="宋体"/>
                <w:color w:val="000000"/>
                <w:szCs w:val="21"/>
                <w:highlight w:val="none"/>
              </w:rPr>
            </w:pPr>
          </w:p>
        </w:tc>
      </w:tr>
    </w:tbl>
    <w:p>
      <w:pPr>
        <w:spacing w:line="360" w:lineRule="auto"/>
        <w:ind w:firstLine="420" w:firstLineChars="200"/>
        <w:rPr>
          <w:rFonts w:ascii="宋体" w:hAnsi="宋体" w:cs="宋体"/>
          <w:color w:val="000000"/>
          <w:szCs w:val="21"/>
          <w:highlight w:val="none"/>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8、须提供上述证明材料复印件或扫描件或影印件。</w:t>
      </w:r>
    </w:p>
    <w:p>
      <w:pPr>
        <w:spacing w:line="360" w:lineRule="auto"/>
        <w:ind w:firstLine="411" w:firstLineChars="196"/>
        <w:jc w:val="center"/>
        <w:rPr>
          <w:rFonts w:ascii="宋体" w:hAnsi="宋体" w:cs="宋体"/>
          <w:color w:val="000000"/>
          <w:szCs w:val="21"/>
          <w:highlight w:val="none"/>
        </w:rPr>
      </w:pPr>
    </w:p>
    <w:p>
      <w:pPr>
        <w:wordWrap w:val="0"/>
        <w:spacing w:line="360" w:lineRule="auto"/>
        <w:ind w:right="480" w:firstLine="422" w:firstLineChars="200"/>
        <w:rPr>
          <w:rFonts w:ascii="宋体" w:hAnsi="宋体"/>
          <w:b/>
          <w:bCs/>
          <w:szCs w:val="21"/>
          <w:highlight w:val="none"/>
        </w:rPr>
      </w:pPr>
      <w:r>
        <w:rPr>
          <w:rFonts w:hint="eastAsia" w:ascii="宋体" w:hAnsi="宋体"/>
          <w:b/>
          <w:bCs/>
          <w:szCs w:val="21"/>
          <w:highlight w:val="none"/>
        </w:rPr>
        <w:t xml:space="preserve">附件：                              </w:t>
      </w:r>
    </w:p>
    <w:p>
      <w:pPr>
        <w:wordWrap w:val="0"/>
        <w:spacing w:line="360" w:lineRule="auto"/>
        <w:ind w:right="480" w:firstLine="562" w:firstLineChars="200"/>
        <w:jc w:val="center"/>
        <w:rPr>
          <w:rFonts w:ascii="宋体" w:hAnsi="宋体"/>
          <w:b/>
          <w:bCs/>
          <w:sz w:val="28"/>
          <w:szCs w:val="28"/>
          <w:highlight w:val="none"/>
        </w:rPr>
      </w:pPr>
      <w:r>
        <w:rPr>
          <w:rFonts w:hint="eastAsia" w:ascii="宋体" w:hAnsi="宋体"/>
          <w:b/>
          <w:bCs/>
          <w:sz w:val="28"/>
          <w:szCs w:val="28"/>
          <w:highlight w:val="none"/>
        </w:rPr>
        <w:t>授  权  书</w:t>
      </w:r>
    </w:p>
    <w:p>
      <w:pPr>
        <w:spacing w:line="360" w:lineRule="auto"/>
        <w:ind w:firstLine="435"/>
        <w:rPr>
          <w:rFonts w:hAnsi="宋体"/>
          <w:sz w:val="24"/>
          <w:szCs w:val="28"/>
          <w:highlight w:val="none"/>
        </w:rPr>
      </w:pPr>
      <w:r>
        <w:rPr>
          <w:rFonts w:hint="eastAsia" w:hAnsi="宋体"/>
          <w:sz w:val="24"/>
          <w:szCs w:val="28"/>
          <w:highlight w:val="none"/>
        </w:rPr>
        <w:t>本</w:t>
      </w:r>
      <w:r>
        <w:rPr>
          <w:rFonts w:hint="eastAsia" w:asciiTheme="minorEastAsia" w:hAnsiTheme="minorEastAsia" w:eastAsiaTheme="minorEastAsia"/>
          <w:sz w:val="24"/>
          <w:highlight w:val="none"/>
        </w:rPr>
        <w:t>授权</w:t>
      </w:r>
      <w:r>
        <w:rPr>
          <w:rFonts w:hint="eastAsia" w:hAnsi="宋体"/>
          <w:sz w:val="24"/>
          <w:szCs w:val="28"/>
          <w:highlight w:val="none"/>
        </w:rPr>
        <w:t>书声明：</w:t>
      </w:r>
      <w:r>
        <w:rPr>
          <w:rFonts w:hint="eastAsia" w:hAnsi="宋体"/>
          <w:sz w:val="24"/>
          <w:szCs w:val="28"/>
          <w:highlight w:val="none"/>
          <w:u w:val="single"/>
        </w:rPr>
        <w:t xml:space="preserve">           </w:t>
      </w:r>
      <w:r>
        <w:rPr>
          <w:rFonts w:hint="eastAsia" w:hAnsi="宋体"/>
          <w:sz w:val="24"/>
          <w:szCs w:val="28"/>
          <w:highlight w:val="none"/>
        </w:rPr>
        <w:t>（投标人名称）授权</w:t>
      </w:r>
      <w:r>
        <w:rPr>
          <w:rFonts w:hint="eastAsia" w:hAnsi="宋体"/>
          <w:sz w:val="24"/>
          <w:szCs w:val="28"/>
          <w:highlight w:val="none"/>
          <w:u w:val="single"/>
        </w:rPr>
        <w:t xml:space="preserve">       </w:t>
      </w:r>
      <w:r>
        <w:rPr>
          <w:rFonts w:hint="eastAsia" w:hAnsi="宋体"/>
          <w:sz w:val="24"/>
          <w:szCs w:val="28"/>
          <w:highlight w:val="none"/>
        </w:rPr>
        <w:t>（投标人授权代表姓名、职务）代表我方参加本项目</w:t>
      </w:r>
      <w:r>
        <w:rPr>
          <w:rFonts w:hint="eastAsia" w:hAnsi="宋体"/>
          <w:bCs/>
          <w:sz w:val="24"/>
          <w:szCs w:val="28"/>
          <w:highlight w:val="none"/>
        </w:rPr>
        <w:t>采购活动</w:t>
      </w:r>
      <w:r>
        <w:rPr>
          <w:rFonts w:hint="eastAsia" w:hAnsi="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hAnsi="宋体"/>
          <w:sz w:val="24"/>
          <w:szCs w:val="28"/>
          <w:highlight w:val="none"/>
        </w:rPr>
      </w:pPr>
      <w:r>
        <w:rPr>
          <w:rFonts w:hint="eastAsia" w:hAnsi="宋体"/>
          <w:sz w:val="24"/>
          <w:szCs w:val="28"/>
          <w:highlight w:val="none"/>
        </w:rPr>
        <w:t>本授权书自出具之日起生效。</w:t>
      </w:r>
    </w:p>
    <w:p>
      <w:pPr>
        <w:spacing w:line="360" w:lineRule="auto"/>
        <w:ind w:firstLine="435"/>
        <w:rPr>
          <w:rFonts w:hAnsi="宋体"/>
          <w:sz w:val="24"/>
          <w:highlight w:val="none"/>
        </w:rPr>
      </w:pPr>
      <w:r>
        <w:rPr>
          <w:rFonts w:hint="eastAsia" w:hAnsi="宋体"/>
          <w:sz w:val="24"/>
          <w:szCs w:val="28"/>
          <w:highlight w:val="none"/>
        </w:rPr>
        <w:t>授权</w:t>
      </w:r>
      <w:r>
        <w:rPr>
          <w:rFonts w:hint="eastAsia" w:asciiTheme="minorEastAsia" w:hAnsiTheme="minorEastAsia" w:eastAsiaTheme="minorEastAsia"/>
          <w:sz w:val="24"/>
          <w:highlight w:val="none"/>
        </w:rPr>
        <w:t>代表</w:t>
      </w:r>
      <w:r>
        <w:rPr>
          <w:rFonts w:hint="eastAsia" w:hAnsi="宋体"/>
          <w:sz w:val="24"/>
          <w:highlight w:val="none"/>
        </w:rPr>
        <w:t>身份证明扫描件：</w:t>
      </w:r>
    </w:p>
    <w:p>
      <w:pPr>
        <w:spacing w:line="360" w:lineRule="auto"/>
        <w:ind w:firstLine="435"/>
        <w:rPr>
          <w:rFonts w:asciiTheme="minorEastAsia" w:hAnsiTheme="minorEastAsia" w:eastAsiaTheme="minorEastAsia"/>
          <w:sz w:val="24"/>
          <w:highlight w:val="none"/>
        </w:rPr>
      </w:pPr>
    </w:p>
    <w:p>
      <w:pPr>
        <w:spacing w:line="360" w:lineRule="auto"/>
        <w:ind w:firstLine="435"/>
        <w:rPr>
          <w:rFonts w:asciiTheme="minorEastAsia" w:hAnsiTheme="minorEastAsia" w:eastAsiaTheme="minorEastAsia"/>
          <w:sz w:val="24"/>
          <w:highlight w:val="none"/>
        </w:rPr>
      </w:pPr>
    </w:p>
    <w:p>
      <w:pPr>
        <w:spacing w:line="360" w:lineRule="auto"/>
        <w:ind w:firstLine="435"/>
        <w:rPr>
          <w:rFonts w:asciiTheme="minorEastAsia" w:hAnsiTheme="minorEastAsia" w:eastAsiaTheme="minorEastAsia"/>
          <w:sz w:val="24"/>
          <w:highlight w:val="none"/>
        </w:rPr>
      </w:pPr>
    </w:p>
    <w:p>
      <w:pPr>
        <w:spacing w:line="360" w:lineRule="auto"/>
        <w:ind w:firstLine="435"/>
        <w:rPr>
          <w:rFonts w:hAnsi="宋体"/>
          <w:sz w:val="24"/>
          <w:szCs w:val="28"/>
          <w:highlight w:val="none"/>
          <w:u w:val="single"/>
          <w:lang w:val="zh-CN"/>
        </w:rPr>
      </w:pPr>
      <w:r>
        <w:rPr>
          <w:rFonts w:hint="eastAsia" w:hAnsi="宋体"/>
          <w:sz w:val="24"/>
          <w:szCs w:val="28"/>
          <w:highlight w:val="none"/>
        </w:rPr>
        <w:t>授权代表联系方式：</w:t>
      </w:r>
      <w:r>
        <w:rPr>
          <w:rFonts w:hint="eastAsia" w:hAnsi="宋体"/>
          <w:sz w:val="24"/>
          <w:szCs w:val="28"/>
          <w:highlight w:val="none"/>
          <w:u w:val="single"/>
        </w:rPr>
        <w:t xml:space="preserve">          （请填写手机号码）</w:t>
      </w:r>
    </w:p>
    <w:p>
      <w:pPr>
        <w:spacing w:line="360" w:lineRule="auto"/>
        <w:ind w:firstLine="435"/>
        <w:rPr>
          <w:rFonts w:hAnsi="宋体"/>
          <w:sz w:val="24"/>
          <w:szCs w:val="28"/>
          <w:highlight w:val="none"/>
          <w:lang w:val="zh-CN"/>
        </w:rPr>
      </w:pPr>
    </w:p>
    <w:p>
      <w:pPr>
        <w:spacing w:line="360" w:lineRule="auto"/>
        <w:ind w:firstLine="435"/>
        <w:rPr>
          <w:rFonts w:ascii="宋体" w:hAnsi="宋体"/>
          <w:sz w:val="24"/>
          <w:szCs w:val="28"/>
          <w:highlight w:val="none"/>
        </w:rPr>
      </w:pPr>
      <w:r>
        <w:rPr>
          <w:rFonts w:hint="eastAsia" w:asciiTheme="minorEastAsia" w:hAnsiTheme="minorEastAsia" w:eastAsiaTheme="minorEastAsia"/>
          <w:sz w:val="24"/>
          <w:highlight w:val="none"/>
        </w:rPr>
        <w:t>特此</w:t>
      </w:r>
      <w:r>
        <w:rPr>
          <w:rFonts w:hint="eastAsia" w:ascii="宋体" w:hAnsi="宋体"/>
          <w:sz w:val="24"/>
          <w:szCs w:val="28"/>
          <w:highlight w:val="none"/>
        </w:rPr>
        <w:t>声明。</w:t>
      </w:r>
    </w:p>
    <w:p>
      <w:pPr>
        <w:spacing w:line="360" w:lineRule="auto"/>
        <w:rPr>
          <w:rFonts w:ascii="宋体" w:hAnsi="宋体"/>
          <w:sz w:val="24"/>
          <w:szCs w:val="28"/>
          <w:highlight w:val="none"/>
        </w:rPr>
      </w:pPr>
    </w:p>
    <w:p>
      <w:pPr>
        <w:spacing w:line="360" w:lineRule="auto"/>
        <w:ind w:firstLine="435"/>
        <w:rPr>
          <w:rFonts w:ascii="宋体" w:hAnsi="宋体"/>
          <w:bCs/>
          <w:sz w:val="24"/>
          <w:szCs w:val="28"/>
          <w:highlight w:val="none"/>
          <w:u w:val="single"/>
        </w:rPr>
      </w:pPr>
      <w:r>
        <w:rPr>
          <w:rFonts w:hint="eastAsia" w:ascii="宋体" w:hAnsi="宋体"/>
          <w:bCs/>
          <w:sz w:val="24"/>
          <w:szCs w:val="28"/>
          <w:highlight w:val="none"/>
        </w:rPr>
        <w:t>投标人：</w:t>
      </w:r>
      <w:r>
        <w:rPr>
          <w:rFonts w:hint="eastAsia" w:ascii="宋体" w:hAnsi="宋体"/>
          <w:bCs/>
          <w:sz w:val="24"/>
          <w:szCs w:val="28"/>
          <w:highlight w:val="none"/>
          <w:u w:val="single"/>
        </w:rPr>
        <w:t xml:space="preserve">                    </w:t>
      </w:r>
      <w:r>
        <w:rPr>
          <w:rFonts w:hint="eastAsia" w:ascii="宋体" w:hAnsi="宋体"/>
          <w:bCs/>
          <w:sz w:val="24"/>
          <w:szCs w:val="28"/>
          <w:highlight w:val="none"/>
        </w:rPr>
        <w:t>（签章）</w:t>
      </w:r>
    </w:p>
    <w:p>
      <w:pPr>
        <w:spacing w:line="360" w:lineRule="auto"/>
        <w:ind w:firstLine="435"/>
        <w:rPr>
          <w:rFonts w:ascii="宋体" w:hAnsi="宋体"/>
          <w:bCs/>
          <w:sz w:val="24"/>
          <w:szCs w:val="28"/>
          <w:highlight w:val="none"/>
          <w:u w:val="single"/>
        </w:rPr>
      </w:pPr>
      <w:r>
        <w:rPr>
          <w:rFonts w:hint="eastAsia" w:ascii="宋体" w:hAnsi="宋体"/>
          <w:bCs/>
          <w:sz w:val="24"/>
          <w:szCs w:val="28"/>
          <w:highlight w:val="none"/>
        </w:rPr>
        <w:t>法定代表人（负责人）：</w:t>
      </w:r>
      <w:r>
        <w:rPr>
          <w:rFonts w:hint="eastAsia" w:ascii="宋体" w:hAnsi="宋体"/>
          <w:bCs/>
          <w:sz w:val="24"/>
          <w:szCs w:val="28"/>
          <w:highlight w:val="none"/>
          <w:u w:val="single"/>
        </w:rPr>
        <w:t>______________</w:t>
      </w:r>
      <w:r>
        <w:rPr>
          <w:rFonts w:hint="eastAsia" w:ascii="宋体" w:hAnsi="宋体"/>
          <w:bCs/>
          <w:sz w:val="24"/>
          <w:szCs w:val="28"/>
          <w:highlight w:val="none"/>
        </w:rPr>
        <w:t>（签章）</w:t>
      </w:r>
    </w:p>
    <w:p>
      <w:pPr>
        <w:spacing w:line="360" w:lineRule="auto"/>
        <w:ind w:firstLine="435"/>
        <w:rPr>
          <w:rFonts w:ascii="宋体" w:hAnsi="宋体"/>
          <w:sz w:val="24"/>
          <w:szCs w:val="28"/>
          <w:highlight w:val="none"/>
        </w:rPr>
      </w:pPr>
      <w:r>
        <w:rPr>
          <w:rFonts w:hint="eastAsia" w:ascii="宋体" w:hAnsi="宋体"/>
          <w:sz w:val="24"/>
          <w:szCs w:val="28"/>
          <w:highlight w:val="none"/>
        </w:rPr>
        <w:t>日          期：</w:t>
      </w:r>
      <w:r>
        <w:rPr>
          <w:rFonts w:hint="eastAsia" w:ascii="宋体" w:hAnsi="宋体"/>
          <w:b/>
          <w:bCs/>
          <w:sz w:val="24"/>
          <w:szCs w:val="28"/>
          <w:highlight w:val="none"/>
          <w:u w:val="single"/>
        </w:rPr>
        <w:t xml:space="preserve">                    </w:t>
      </w:r>
    </w:p>
    <w:p>
      <w:pPr>
        <w:spacing w:line="360" w:lineRule="auto"/>
        <w:ind w:firstLine="435"/>
        <w:rPr>
          <w:rFonts w:asciiTheme="minorEastAsia" w:hAnsiTheme="minorEastAsia" w:eastAsiaTheme="minorEastAsia"/>
          <w:sz w:val="24"/>
          <w:highlight w:val="none"/>
        </w:rPr>
      </w:pPr>
    </w:p>
    <w:p>
      <w:pPr>
        <w:spacing w:line="360" w:lineRule="auto"/>
        <w:ind w:firstLine="435"/>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w:t>
      </w:r>
      <w:r>
        <w:rPr>
          <w:rFonts w:hint="eastAsia" w:asciiTheme="minorEastAsia" w:hAnsiTheme="minorEastAsia" w:eastAsiaTheme="minorEastAsia"/>
          <w:b/>
          <w:bCs/>
          <w:sz w:val="24"/>
          <w:highlight w:val="none"/>
        </w:rPr>
        <w:t>提供身份证明扫描件</w:t>
      </w:r>
      <w:r>
        <w:rPr>
          <w:rFonts w:hint="eastAsia" w:asciiTheme="minorEastAsia" w:hAnsiTheme="minorEastAsia" w:eastAsiaTheme="minorEastAsia"/>
          <w:sz w:val="24"/>
          <w:highlight w:val="none"/>
        </w:rPr>
        <w:t>；</w:t>
      </w:r>
    </w:p>
    <w:p>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w:t>
      </w:r>
      <w:r>
        <w:rPr>
          <w:rFonts w:hint="eastAsia" w:asciiTheme="minorEastAsia" w:hAnsiTheme="minorEastAsia" w:eastAsiaTheme="minorEastAsia"/>
          <w:b/>
          <w:bCs/>
          <w:sz w:val="24"/>
          <w:highlight w:val="none"/>
        </w:rPr>
        <w:t>提供身份证明扫描件</w:t>
      </w:r>
      <w:r>
        <w:rPr>
          <w:rFonts w:hint="eastAsia" w:asciiTheme="minorEastAsia" w:hAnsiTheme="minorEastAsia" w:eastAsiaTheme="minorEastAsia"/>
          <w:sz w:val="24"/>
          <w:highlight w:val="none"/>
        </w:rPr>
        <w:t>。</w:t>
      </w:r>
    </w:p>
    <w:p>
      <w:pPr>
        <w:wordWrap w:val="0"/>
        <w:spacing w:line="360" w:lineRule="auto"/>
        <w:ind w:right="480" w:firstLine="420" w:firstLineChars="200"/>
        <w:rPr>
          <w:rFonts w:ascii="宋体" w:hAnsi="宋体"/>
          <w:szCs w:val="21"/>
          <w:highlight w:val="none"/>
        </w:rPr>
      </w:pPr>
    </w:p>
    <w:p>
      <w:pPr>
        <w:wordWrap w:val="0"/>
        <w:spacing w:line="360" w:lineRule="auto"/>
        <w:ind w:right="480" w:firstLine="420" w:firstLineChars="200"/>
        <w:rPr>
          <w:rFonts w:ascii="宋体" w:hAnsi="宋体"/>
          <w:szCs w:val="21"/>
          <w:highlight w:val="none"/>
        </w:rPr>
      </w:pPr>
    </w:p>
    <w:p>
      <w:pPr>
        <w:wordWrap w:val="0"/>
        <w:spacing w:line="360" w:lineRule="auto"/>
        <w:ind w:right="480"/>
        <w:rPr>
          <w:rFonts w:ascii="宋体" w:hAnsi="宋体"/>
          <w:color w:val="000000"/>
          <w:szCs w:val="21"/>
          <w:highlight w:val="none"/>
        </w:rPr>
      </w:pPr>
    </w:p>
    <w:sectPr>
      <w:headerReference r:id="rId4" w:type="default"/>
      <w:footerReference r:id="rId5"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Gx41NIBAACjAwAADgAAAAAAAAABACAAAAAi&#10;AQAAZHJzL2Uyb0RvYy54bWxQSwUGAAAAAAYABgBZAQAAZgUAAAAA&#10;">
              <v:fill on="f" focussize="0,0"/>
              <v:stroke on="f" weight="1.2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0"/>
      <w:rPr>
        <w:szCs w:val="21"/>
      </w:rPr>
    </w:pPr>
    <w:r>
      <w:rPr>
        <w:rFonts w:hint="eastAsia"/>
        <w:szCs w:val="21"/>
      </w:rPr>
      <w:t xml:space="preserve">                                       </w:t>
    </w:r>
    <w:r>
      <w:rPr>
        <w:rFonts w:hint="eastAsia"/>
        <w:szCs w:val="21"/>
        <w:lang w:val="en-US" w:eastAsia="zh-CN"/>
      </w:rPr>
      <w:t xml:space="preserve">                    </w:t>
    </w:r>
    <w:r>
      <w:rPr>
        <w:rFonts w:hint="eastAsia"/>
        <w:szCs w:val="21"/>
      </w:rPr>
      <w:t>安庆火车站站前广场自动扶梯维修服务采购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FAB4C"/>
    <w:multiLevelType w:val="singleLevel"/>
    <w:tmpl w:val="049FAB4C"/>
    <w:lvl w:ilvl="0" w:tentative="0">
      <w:start w:val="5"/>
      <w:numFmt w:val="decimal"/>
      <w:suff w:val="nothing"/>
      <w:lvlText w:val="%1、"/>
      <w:lvlJc w:val="left"/>
      <w:pPr>
        <w:ind w:left="105" w:leftChars="0" w:firstLine="0" w:firstLineChars="0"/>
      </w:pPr>
    </w:lvl>
  </w:abstractNum>
  <w:abstractNum w:abstractNumId="1">
    <w:nsid w:val="55DBBED0"/>
    <w:multiLevelType w:val="singleLevel"/>
    <w:tmpl w:val="55DBBED0"/>
    <w:lvl w:ilvl="0" w:tentative="0">
      <w:start w:val="1"/>
      <w:numFmt w:val="chineseCounting"/>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GM4NTIzN2Y5YTFhZGJlZTU5YTc5N2RmM2EwYWMifQ=="/>
  </w:docVars>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1A9"/>
    <w:rsid w:val="000D7850"/>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3BAF"/>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2A35"/>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3FF"/>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C7A"/>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640F"/>
    <w:rsid w:val="00237F01"/>
    <w:rsid w:val="002425BE"/>
    <w:rsid w:val="002440C0"/>
    <w:rsid w:val="00244DB8"/>
    <w:rsid w:val="002459A4"/>
    <w:rsid w:val="00247C71"/>
    <w:rsid w:val="00247CEA"/>
    <w:rsid w:val="0025135B"/>
    <w:rsid w:val="00251685"/>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0DEE"/>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70B"/>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540B"/>
    <w:rsid w:val="004B6646"/>
    <w:rsid w:val="004B7954"/>
    <w:rsid w:val="004B7E43"/>
    <w:rsid w:val="004C1804"/>
    <w:rsid w:val="004C44B6"/>
    <w:rsid w:val="004C7336"/>
    <w:rsid w:val="004C754A"/>
    <w:rsid w:val="004D0FF1"/>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582"/>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04A16"/>
    <w:rsid w:val="00507639"/>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04"/>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5F5"/>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577"/>
    <w:rsid w:val="00762AE6"/>
    <w:rsid w:val="007633AB"/>
    <w:rsid w:val="00763F74"/>
    <w:rsid w:val="0076554F"/>
    <w:rsid w:val="00766C87"/>
    <w:rsid w:val="00767347"/>
    <w:rsid w:val="00767FDF"/>
    <w:rsid w:val="0077212B"/>
    <w:rsid w:val="00772207"/>
    <w:rsid w:val="00773097"/>
    <w:rsid w:val="00775755"/>
    <w:rsid w:val="00775F01"/>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0E0D"/>
    <w:rsid w:val="008012BD"/>
    <w:rsid w:val="00801516"/>
    <w:rsid w:val="00801DDA"/>
    <w:rsid w:val="00802162"/>
    <w:rsid w:val="00802B5F"/>
    <w:rsid w:val="00803A19"/>
    <w:rsid w:val="00803B86"/>
    <w:rsid w:val="008050CA"/>
    <w:rsid w:val="00805492"/>
    <w:rsid w:val="00805E25"/>
    <w:rsid w:val="00806600"/>
    <w:rsid w:val="00806A32"/>
    <w:rsid w:val="00806DEA"/>
    <w:rsid w:val="0080705A"/>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119"/>
    <w:rsid w:val="00862850"/>
    <w:rsid w:val="00863283"/>
    <w:rsid w:val="0086494B"/>
    <w:rsid w:val="008659CD"/>
    <w:rsid w:val="0086627F"/>
    <w:rsid w:val="008702FB"/>
    <w:rsid w:val="008704F4"/>
    <w:rsid w:val="0087073E"/>
    <w:rsid w:val="00870E61"/>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67B2"/>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64A8"/>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D7D1B"/>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67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427"/>
    <w:rsid w:val="00AA5983"/>
    <w:rsid w:val="00AA5ED2"/>
    <w:rsid w:val="00AA6045"/>
    <w:rsid w:val="00AA698A"/>
    <w:rsid w:val="00AA7868"/>
    <w:rsid w:val="00AA7A83"/>
    <w:rsid w:val="00AA7D03"/>
    <w:rsid w:val="00AB0265"/>
    <w:rsid w:val="00AB24EB"/>
    <w:rsid w:val="00AB30C5"/>
    <w:rsid w:val="00AB35AC"/>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4990"/>
    <w:rsid w:val="00B05455"/>
    <w:rsid w:val="00B054B1"/>
    <w:rsid w:val="00B05692"/>
    <w:rsid w:val="00B0692A"/>
    <w:rsid w:val="00B1086A"/>
    <w:rsid w:val="00B10CE4"/>
    <w:rsid w:val="00B11579"/>
    <w:rsid w:val="00B12954"/>
    <w:rsid w:val="00B13584"/>
    <w:rsid w:val="00B1422B"/>
    <w:rsid w:val="00B142DA"/>
    <w:rsid w:val="00B1578B"/>
    <w:rsid w:val="00B172D3"/>
    <w:rsid w:val="00B17F2C"/>
    <w:rsid w:val="00B20DAF"/>
    <w:rsid w:val="00B21332"/>
    <w:rsid w:val="00B21350"/>
    <w:rsid w:val="00B22B91"/>
    <w:rsid w:val="00B25673"/>
    <w:rsid w:val="00B2589A"/>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87B"/>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03"/>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227"/>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38D"/>
    <w:rsid w:val="00C91E01"/>
    <w:rsid w:val="00C91E77"/>
    <w:rsid w:val="00C92E96"/>
    <w:rsid w:val="00C93028"/>
    <w:rsid w:val="00C9375B"/>
    <w:rsid w:val="00C93A19"/>
    <w:rsid w:val="00C9551B"/>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68DC"/>
    <w:rsid w:val="00D3741E"/>
    <w:rsid w:val="00D4057D"/>
    <w:rsid w:val="00D40759"/>
    <w:rsid w:val="00D42991"/>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D46"/>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2A0"/>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1828"/>
    <w:rsid w:val="00E02CD1"/>
    <w:rsid w:val="00E02F60"/>
    <w:rsid w:val="00E04844"/>
    <w:rsid w:val="00E05A4A"/>
    <w:rsid w:val="00E05B2B"/>
    <w:rsid w:val="00E06011"/>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68C"/>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68EB"/>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1A7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18E"/>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5CF3"/>
    <w:rsid w:val="00EE678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3CB4"/>
    <w:rsid w:val="00F05D0F"/>
    <w:rsid w:val="00F05DDD"/>
    <w:rsid w:val="00F061A7"/>
    <w:rsid w:val="00F0668F"/>
    <w:rsid w:val="00F076B1"/>
    <w:rsid w:val="00F077EB"/>
    <w:rsid w:val="00F10A18"/>
    <w:rsid w:val="00F1146F"/>
    <w:rsid w:val="00F12605"/>
    <w:rsid w:val="00F128BD"/>
    <w:rsid w:val="00F15231"/>
    <w:rsid w:val="00F16658"/>
    <w:rsid w:val="00F16F72"/>
    <w:rsid w:val="00F1788D"/>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9C9"/>
    <w:rsid w:val="00F41A4A"/>
    <w:rsid w:val="00F43271"/>
    <w:rsid w:val="00F4330A"/>
    <w:rsid w:val="00F44396"/>
    <w:rsid w:val="00F448C3"/>
    <w:rsid w:val="00F44C94"/>
    <w:rsid w:val="00F44D2E"/>
    <w:rsid w:val="00F455EB"/>
    <w:rsid w:val="00F460F9"/>
    <w:rsid w:val="00F474A7"/>
    <w:rsid w:val="00F50CDF"/>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5C3F"/>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334"/>
    <w:rsid w:val="00FF6A5A"/>
    <w:rsid w:val="00FF762C"/>
    <w:rsid w:val="00FF79C6"/>
    <w:rsid w:val="01826A17"/>
    <w:rsid w:val="018A44B4"/>
    <w:rsid w:val="01922DC9"/>
    <w:rsid w:val="01963BE6"/>
    <w:rsid w:val="019924DC"/>
    <w:rsid w:val="021A1EAD"/>
    <w:rsid w:val="02316790"/>
    <w:rsid w:val="023E4914"/>
    <w:rsid w:val="02606320"/>
    <w:rsid w:val="02734C55"/>
    <w:rsid w:val="02A4476B"/>
    <w:rsid w:val="02E9052A"/>
    <w:rsid w:val="02F10E60"/>
    <w:rsid w:val="03094DA8"/>
    <w:rsid w:val="03387229"/>
    <w:rsid w:val="03443A6F"/>
    <w:rsid w:val="03724537"/>
    <w:rsid w:val="03851ED2"/>
    <w:rsid w:val="03A96165"/>
    <w:rsid w:val="03EF5EB9"/>
    <w:rsid w:val="03F44933"/>
    <w:rsid w:val="04043AA5"/>
    <w:rsid w:val="041E7ACD"/>
    <w:rsid w:val="04201B8B"/>
    <w:rsid w:val="04382BE0"/>
    <w:rsid w:val="043E7102"/>
    <w:rsid w:val="045E7194"/>
    <w:rsid w:val="0477350E"/>
    <w:rsid w:val="048D42C4"/>
    <w:rsid w:val="04A006E1"/>
    <w:rsid w:val="04CD74E2"/>
    <w:rsid w:val="051A65C3"/>
    <w:rsid w:val="052E1C9F"/>
    <w:rsid w:val="0531200C"/>
    <w:rsid w:val="053E109C"/>
    <w:rsid w:val="054C6411"/>
    <w:rsid w:val="05E002BE"/>
    <w:rsid w:val="05E35B59"/>
    <w:rsid w:val="06481AD4"/>
    <w:rsid w:val="06521913"/>
    <w:rsid w:val="06567772"/>
    <w:rsid w:val="06805122"/>
    <w:rsid w:val="069353D8"/>
    <w:rsid w:val="06952ADA"/>
    <w:rsid w:val="06DF7532"/>
    <w:rsid w:val="06F36A08"/>
    <w:rsid w:val="071B4038"/>
    <w:rsid w:val="07422C6F"/>
    <w:rsid w:val="07655DB3"/>
    <w:rsid w:val="07C37441"/>
    <w:rsid w:val="07DA0583"/>
    <w:rsid w:val="0838737A"/>
    <w:rsid w:val="08444D9F"/>
    <w:rsid w:val="0870581B"/>
    <w:rsid w:val="088A4392"/>
    <w:rsid w:val="089935B7"/>
    <w:rsid w:val="08AA4743"/>
    <w:rsid w:val="08B1373D"/>
    <w:rsid w:val="08D12404"/>
    <w:rsid w:val="08DA0D79"/>
    <w:rsid w:val="09095327"/>
    <w:rsid w:val="0927319F"/>
    <w:rsid w:val="092B3141"/>
    <w:rsid w:val="097517AF"/>
    <w:rsid w:val="097A7948"/>
    <w:rsid w:val="097C3D4B"/>
    <w:rsid w:val="098C68F8"/>
    <w:rsid w:val="09AC4724"/>
    <w:rsid w:val="09B87F24"/>
    <w:rsid w:val="09F95F96"/>
    <w:rsid w:val="0A0334B3"/>
    <w:rsid w:val="0A3C1CA7"/>
    <w:rsid w:val="0A461924"/>
    <w:rsid w:val="0A901CC5"/>
    <w:rsid w:val="0AEC6CAF"/>
    <w:rsid w:val="0B072024"/>
    <w:rsid w:val="0B0914F5"/>
    <w:rsid w:val="0B110D86"/>
    <w:rsid w:val="0B1C5187"/>
    <w:rsid w:val="0B2916C2"/>
    <w:rsid w:val="0B91761E"/>
    <w:rsid w:val="0BCA33E7"/>
    <w:rsid w:val="0BE12075"/>
    <w:rsid w:val="0BE77B0B"/>
    <w:rsid w:val="0C6311F3"/>
    <w:rsid w:val="0C83295D"/>
    <w:rsid w:val="0C89471E"/>
    <w:rsid w:val="0CAE5CFF"/>
    <w:rsid w:val="0D3E4270"/>
    <w:rsid w:val="0D494161"/>
    <w:rsid w:val="0D4F57E4"/>
    <w:rsid w:val="0D6669BD"/>
    <w:rsid w:val="0DC64678"/>
    <w:rsid w:val="0DCB05AE"/>
    <w:rsid w:val="0DF70178"/>
    <w:rsid w:val="0DF94899"/>
    <w:rsid w:val="0DFA1324"/>
    <w:rsid w:val="0E2350DD"/>
    <w:rsid w:val="0E32410D"/>
    <w:rsid w:val="0E8A2A67"/>
    <w:rsid w:val="0EA86D69"/>
    <w:rsid w:val="0EB14180"/>
    <w:rsid w:val="0EBC4E69"/>
    <w:rsid w:val="0EDD408A"/>
    <w:rsid w:val="0EF64818"/>
    <w:rsid w:val="0EFB37A0"/>
    <w:rsid w:val="0F1F59AE"/>
    <w:rsid w:val="0F3D389D"/>
    <w:rsid w:val="0F434292"/>
    <w:rsid w:val="0F8236D5"/>
    <w:rsid w:val="0FA65B55"/>
    <w:rsid w:val="0FC55235"/>
    <w:rsid w:val="0FF46D31"/>
    <w:rsid w:val="1009280B"/>
    <w:rsid w:val="100E134E"/>
    <w:rsid w:val="10264018"/>
    <w:rsid w:val="1050087E"/>
    <w:rsid w:val="10B2256F"/>
    <w:rsid w:val="10C17787"/>
    <w:rsid w:val="10C64A93"/>
    <w:rsid w:val="10DC68D5"/>
    <w:rsid w:val="11263022"/>
    <w:rsid w:val="112F02CD"/>
    <w:rsid w:val="11803EC2"/>
    <w:rsid w:val="11875983"/>
    <w:rsid w:val="11AC730F"/>
    <w:rsid w:val="11BC1C1F"/>
    <w:rsid w:val="11CF1EF1"/>
    <w:rsid w:val="11EA2CE5"/>
    <w:rsid w:val="121A40C0"/>
    <w:rsid w:val="126D2AE8"/>
    <w:rsid w:val="12994AF8"/>
    <w:rsid w:val="12A95830"/>
    <w:rsid w:val="12AE6B32"/>
    <w:rsid w:val="12AF4946"/>
    <w:rsid w:val="12C43EF0"/>
    <w:rsid w:val="12C4475B"/>
    <w:rsid w:val="12D6647C"/>
    <w:rsid w:val="12EB6E32"/>
    <w:rsid w:val="130D3C66"/>
    <w:rsid w:val="13143247"/>
    <w:rsid w:val="132B46CB"/>
    <w:rsid w:val="1347382D"/>
    <w:rsid w:val="135421F8"/>
    <w:rsid w:val="13616BDF"/>
    <w:rsid w:val="13753967"/>
    <w:rsid w:val="13A1080A"/>
    <w:rsid w:val="13DF2D80"/>
    <w:rsid w:val="13E04CDB"/>
    <w:rsid w:val="13EA1FE1"/>
    <w:rsid w:val="13EB17D3"/>
    <w:rsid w:val="141C0605"/>
    <w:rsid w:val="142A4E08"/>
    <w:rsid w:val="146B3973"/>
    <w:rsid w:val="14817D21"/>
    <w:rsid w:val="14956609"/>
    <w:rsid w:val="149A777C"/>
    <w:rsid w:val="14D8207C"/>
    <w:rsid w:val="14DA386A"/>
    <w:rsid w:val="14E42898"/>
    <w:rsid w:val="14F224D3"/>
    <w:rsid w:val="15026014"/>
    <w:rsid w:val="15073605"/>
    <w:rsid w:val="152A4236"/>
    <w:rsid w:val="154A73F4"/>
    <w:rsid w:val="155807CF"/>
    <w:rsid w:val="15786FC5"/>
    <w:rsid w:val="15FA4347"/>
    <w:rsid w:val="162701DA"/>
    <w:rsid w:val="162B22EC"/>
    <w:rsid w:val="164C31F0"/>
    <w:rsid w:val="164D4538"/>
    <w:rsid w:val="16AA643D"/>
    <w:rsid w:val="16BC7E7D"/>
    <w:rsid w:val="16C16894"/>
    <w:rsid w:val="16E62698"/>
    <w:rsid w:val="16EB42BE"/>
    <w:rsid w:val="170B2AE0"/>
    <w:rsid w:val="170C2076"/>
    <w:rsid w:val="171347E8"/>
    <w:rsid w:val="171F0553"/>
    <w:rsid w:val="17656EC7"/>
    <w:rsid w:val="17681DB3"/>
    <w:rsid w:val="17865E6F"/>
    <w:rsid w:val="178B2FCA"/>
    <w:rsid w:val="17D73777"/>
    <w:rsid w:val="17F43647"/>
    <w:rsid w:val="183A16EE"/>
    <w:rsid w:val="185B4556"/>
    <w:rsid w:val="188859CE"/>
    <w:rsid w:val="189F55F4"/>
    <w:rsid w:val="18A64941"/>
    <w:rsid w:val="18F273A6"/>
    <w:rsid w:val="18FC756A"/>
    <w:rsid w:val="192A68C8"/>
    <w:rsid w:val="196053DA"/>
    <w:rsid w:val="196E49C7"/>
    <w:rsid w:val="199F5019"/>
    <w:rsid w:val="19DF13F6"/>
    <w:rsid w:val="1A390864"/>
    <w:rsid w:val="1A6A324A"/>
    <w:rsid w:val="1AC77936"/>
    <w:rsid w:val="1B06535A"/>
    <w:rsid w:val="1B181533"/>
    <w:rsid w:val="1B6F145E"/>
    <w:rsid w:val="1BA7556B"/>
    <w:rsid w:val="1BDE1760"/>
    <w:rsid w:val="1C2551E1"/>
    <w:rsid w:val="1C4B349A"/>
    <w:rsid w:val="1C656F34"/>
    <w:rsid w:val="1C946602"/>
    <w:rsid w:val="1CA232AC"/>
    <w:rsid w:val="1CAA5AF9"/>
    <w:rsid w:val="1CCA7376"/>
    <w:rsid w:val="1D0B7287"/>
    <w:rsid w:val="1D0E5817"/>
    <w:rsid w:val="1DA03128"/>
    <w:rsid w:val="1DA05131"/>
    <w:rsid w:val="1DB25B96"/>
    <w:rsid w:val="1DC52A30"/>
    <w:rsid w:val="1DC65517"/>
    <w:rsid w:val="1DD66520"/>
    <w:rsid w:val="1DE870A5"/>
    <w:rsid w:val="1E16127D"/>
    <w:rsid w:val="1E2A33E0"/>
    <w:rsid w:val="1E465BA2"/>
    <w:rsid w:val="1E5E47E0"/>
    <w:rsid w:val="1E65548D"/>
    <w:rsid w:val="1E6A5CCC"/>
    <w:rsid w:val="1E84689A"/>
    <w:rsid w:val="1ECD0330"/>
    <w:rsid w:val="1EE95B04"/>
    <w:rsid w:val="1F1555E0"/>
    <w:rsid w:val="1F464788"/>
    <w:rsid w:val="1F5472F6"/>
    <w:rsid w:val="1F663A3C"/>
    <w:rsid w:val="1F6E7EA0"/>
    <w:rsid w:val="1F805BBC"/>
    <w:rsid w:val="1FE73C5F"/>
    <w:rsid w:val="1FF877BF"/>
    <w:rsid w:val="202915A2"/>
    <w:rsid w:val="2038536A"/>
    <w:rsid w:val="204539A1"/>
    <w:rsid w:val="20490E7D"/>
    <w:rsid w:val="207019F5"/>
    <w:rsid w:val="20DD7A52"/>
    <w:rsid w:val="21087874"/>
    <w:rsid w:val="21346507"/>
    <w:rsid w:val="21435719"/>
    <w:rsid w:val="21457AA6"/>
    <w:rsid w:val="2184057F"/>
    <w:rsid w:val="219C4AB4"/>
    <w:rsid w:val="21B76AE0"/>
    <w:rsid w:val="21D4251F"/>
    <w:rsid w:val="223C008F"/>
    <w:rsid w:val="22472B4C"/>
    <w:rsid w:val="22643497"/>
    <w:rsid w:val="22794F14"/>
    <w:rsid w:val="227F77DE"/>
    <w:rsid w:val="22835CF3"/>
    <w:rsid w:val="229442B5"/>
    <w:rsid w:val="22C67959"/>
    <w:rsid w:val="22FB0688"/>
    <w:rsid w:val="231C0C23"/>
    <w:rsid w:val="232063A6"/>
    <w:rsid w:val="23635693"/>
    <w:rsid w:val="239F4B3B"/>
    <w:rsid w:val="23B76FD3"/>
    <w:rsid w:val="23C44AC9"/>
    <w:rsid w:val="23ED7ADD"/>
    <w:rsid w:val="240C6AFA"/>
    <w:rsid w:val="2448342E"/>
    <w:rsid w:val="245C48D7"/>
    <w:rsid w:val="2463402E"/>
    <w:rsid w:val="246E108F"/>
    <w:rsid w:val="24A249FE"/>
    <w:rsid w:val="25066EF6"/>
    <w:rsid w:val="2518296A"/>
    <w:rsid w:val="254C6870"/>
    <w:rsid w:val="25AF505A"/>
    <w:rsid w:val="26066D6F"/>
    <w:rsid w:val="26235A5B"/>
    <w:rsid w:val="262E24B2"/>
    <w:rsid w:val="267A14D0"/>
    <w:rsid w:val="268B284C"/>
    <w:rsid w:val="26A26BEE"/>
    <w:rsid w:val="26C7367F"/>
    <w:rsid w:val="26CD70F0"/>
    <w:rsid w:val="26FE1742"/>
    <w:rsid w:val="26FF1B22"/>
    <w:rsid w:val="2701248A"/>
    <w:rsid w:val="27015D0E"/>
    <w:rsid w:val="270760D7"/>
    <w:rsid w:val="271B299E"/>
    <w:rsid w:val="272B4880"/>
    <w:rsid w:val="274F6261"/>
    <w:rsid w:val="277A093D"/>
    <w:rsid w:val="278241BD"/>
    <w:rsid w:val="27971706"/>
    <w:rsid w:val="279767AD"/>
    <w:rsid w:val="280755BB"/>
    <w:rsid w:val="28154693"/>
    <w:rsid w:val="286D29E1"/>
    <w:rsid w:val="288714FD"/>
    <w:rsid w:val="28CC3AA7"/>
    <w:rsid w:val="28EA436C"/>
    <w:rsid w:val="29215BA4"/>
    <w:rsid w:val="29660000"/>
    <w:rsid w:val="298A5CBE"/>
    <w:rsid w:val="29A65A1D"/>
    <w:rsid w:val="29AF38AF"/>
    <w:rsid w:val="29B4634A"/>
    <w:rsid w:val="29EA6C76"/>
    <w:rsid w:val="29F10992"/>
    <w:rsid w:val="29F1685F"/>
    <w:rsid w:val="2A2E1289"/>
    <w:rsid w:val="2A8229CD"/>
    <w:rsid w:val="2A8453B1"/>
    <w:rsid w:val="2A863051"/>
    <w:rsid w:val="2A9920D3"/>
    <w:rsid w:val="2AA56CCB"/>
    <w:rsid w:val="2AE37315"/>
    <w:rsid w:val="2B2412CD"/>
    <w:rsid w:val="2B2433DD"/>
    <w:rsid w:val="2B612949"/>
    <w:rsid w:val="2B7045BE"/>
    <w:rsid w:val="2B9D7C99"/>
    <w:rsid w:val="2BA90F52"/>
    <w:rsid w:val="2BAB53B1"/>
    <w:rsid w:val="2BB51544"/>
    <w:rsid w:val="2BC346BE"/>
    <w:rsid w:val="2BE16598"/>
    <w:rsid w:val="2BF269A7"/>
    <w:rsid w:val="2C1C696A"/>
    <w:rsid w:val="2C5174E0"/>
    <w:rsid w:val="2C5618F8"/>
    <w:rsid w:val="2C6A365C"/>
    <w:rsid w:val="2C877A43"/>
    <w:rsid w:val="2C8F59B2"/>
    <w:rsid w:val="2CE22AB5"/>
    <w:rsid w:val="2D845825"/>
    <w:rsid w:val="2D9A7120"/>
    <w:rsid w:val="2DBB30B8"/>
    <w:rsid w:val="2DC50F24"/>
    <w:rsid w:val="2DE435D2"/>
    <w:rsid w:val="2DF36570"/>
    <w:rsid w:val="2E235B1A"/>
    <w:rsid w:val="2E2D4D5E"/>
    <w:rsid w:val="2E316429"/>
    <w:rsid w:val="2E3512B9"/>
    <w:rsid w:val="2ECF2A5B"/>
    <w:rsid w:val="2F2D4173"/>
    <w:rsid w:val="2F3C308F"/>
    <w:rsid w:val="2F8278DB"/>
    <w:rsid w:val="2F9C7A54"/>
    <w:rsid w:val="2F9D6043"/>
    <w:rsid w:val="2FC02334"/>
    <w:rsid w:val="2FC04163"/>
    <w:rsid w:val="2FD71C09"/>
    <w:rsid w:val="3006129D"/>
    <w:rsid w:val="30B5333E"/>
    <w:rsid w:val="30F90549"/>
    <w:rsid w:val="313C614E"/>
    <w:rsid w:val="31505DAD"/>
    <w:rsid w:val="31532F2D"/>
    <w:rsid w:val="318320A8"/>
    <w:rsid w:val="31A40879"/>
    <w:rsid w:val="31C1309B"/>
    <w:rsid w:val="31CD7106"/>
    <w:rsid w:val="31F57EDC"/>
    <w:rsid w:val="320C1BA8"/>
    <w:rsid w:val="32A7158A"/>
    <w:rsid w:val="32AA5A6C"/>
    <w:rsid w:val="32B56792"/>
    <w:rsid w:val="32BC30EA"/>
    <w:rsid w:val="32C51192"/>
    <w:rsid w:val="32CD43F3"/>
    <w:rsid w:val="32EE7C35"/>
    <w:rsid w:val="332848FF"/>
    <w:rsid w:val="33613CE8"/>
    <w:rsid w:val="33B33591"/>
    <w:rsid w:val="33C40DAF"/>
    <w:rsid w:val="33CB50F6"/>
    <w:rsid w:val="33EA5773"/>
    <w:rsid w:val="34156596"/>
    <w:rsid w:val="341579FF"/>
    <w:rsid w:val="343B1E3D"/>
    <w:rsid w:val="347B2C27"/>
    <w:rsid w:val="347D25A2"/>
    <w:rsid w:val="3480762C"/>
    <w:rsid w:val="34B563E2"/>
    <w:rsid w:val="34C71782"/>
    <w:rsid w:val="34CA2810"/>
    <w:rsid w:val="34F73875"/>
    <w:rsid w:val="35033E04"/>
    <w:rsid w:val="350A1874"/>
    <w:rsid w:val="350C4714"/>
    <w:rsid w:val="351A087B"/>
    <w:rsid w:val="35270B41"/>
    <w:rsid w:val="353323D5"/>
    <w:rsid w:val="35925C72"/>
    <w:rsid w:val="35973F2D"/>
    <w:rsid w:val="35C26DEE"/>
    <w:rsid w:val="360F267E"/>
    <w:rsid w:val="361A2073"/>
    <w:rsid w:val="365A50BB"/>
    <w:rsid w:val="366E68DA"/>
    <w:rsid w:val="36881F0D"/>
    <w:rsid w:val="36C41867"/>
    <w:rsid w:val="36CC24F7"/>
    <w:rsid w:val="370E4C3C"/>
    <w:rsid w:val="37321D6A"/>
    <w:rsid w:val="373C3CC0"/>
    <w:rsid w:val="375436D4"/>
    <w:rsid w:val="37545502"/>
    <w:rsid w:val="37855348"/>
    <w:rsid w:val="37A54C0F"/>
    <w:rsid w:val="37D4606B"/>
    <w:rsid w:val="37FA4F3B"/>
    <w:rsid w:val="381F5E35"/>
    <w:rsid w:val="383813C8"/>
    <w:rsid w:val="385244BD"/>
    <w:rsid w:val="38623892"/>
    <w:rsid w:val="38650C3E"/>
    <w:rsid w:val="388809BB"/>
    <w:rsid w:val="388A07DC"/>
    <w:rsid w:val="38E431AE"/>
    <w:rsid w:val="38F57B5C"/>
    <w:rsid w:val="38FD2469"/>
    <w:rsid w:val="39113C01"/>
    <w:rsid w:val="39334744"/>
    <w:rsid w:val="3948026B"/>
    <w:rsid w:val="3956604D"/>
    <w:rsid w:val="39A1679C"/>
    <w:rsid w:val="39F12A70"/>
    <w:rsid w:val="3A132F16"/>
    <w:rsid w:val="3A1B3237"/>
    <w:rsid w:val="3A93517E"/>
    <w:rsid w:val="3B42434C"/>
    <w:rsid w:val="3BE55A8F"/>
    <w:rsid w:val="3BF44C1A"/>
    <w:rsid w:val="3C030505"/>
    <w:rsid w:val="3C34574B"/>
    <w:rsid w:val="3C5A2D1C"/>
    <w:rsid w:val="3C7941AB"/>
    <w:rsid w:val="3C993738"/>
    <w:rsid w:val="3CB37024"/>
    <w:rsid w:val="3CE47750"/>
    <w:rsid w:val="3D057F7D"/>
    <w:rsid w:val="3D0976C4"/>
    <w:rsid w:val="3D4752E9"/>
    <w:rsid w:val="3D7E34D1"/>
    <w:rsid w:val="3D8C258A"/>
    <w:rsid w:val="3DA7157D"/>
    <w:rsid w:val="3DC771BF"/>
    <w:rsid w:val="3DF064DB"/>
    <w:rsid w:val="3E0347A6"/>
    <w:rsid w:val="3E37139E"/>
    <w:rsid w:val="3E377C66"/>
    <w:rsid w:val="3E386E20"/>
    <w:rsid w:val="3E5C5F16"/>
    <w:rsid w:val="3E7E6A1E"/>
    <w:rsid w:val="3F3527DB"/>
    <w:rsid w:val="3F610CAF"/>
    <w:rsid w:val="3F92191C"/>
    <w:rsid w:val="402F14D9"/>
    <w:rsid w:val="4042437C"/>
    <w:rsid w:val="40437225"/>
    <w:rsid w:val="40520D87"/>
    <w:rsid w:val="40666255"/>
    <w:rsid w:val="40852B71"/>
    <w:rsid w:val="40A56A55"/>
    <w:rsid w:val="40D04F96"/>
    <w:rsid w:val="412F650A"/>
    <w:rsid w:val="4154383A"/>
    <w:rsid w:val="415826D8"/>
    <w:rsid w:val="416A77B2"/>
    <w:rsid w:val="41847666"/>
    <w:rsid w:val="41C55588"/>
    <w:rsid w:val="42092064"/>
    <w:rsid w:val="427E562E"/>
    <w:rsid w:val="42C22B34"/>
    <w:rsid w:val="42C433F4"/>
    <w:rsid w:val="42CB19A9"/>
    <w:rsid w:val="42E6571C"/>
    <w:rsid w:val="42F624A6"/>
    <w:rsid w:val="43046BE3"/>
    <w:rsid w:val="43297F3D"/>
    <w:rsid w:val="434C069A"/>
    <w:rsid w:val="43707565"/>
    <w:rsid w:val="43814E59"/>
    <w:rsid w:val="43F56775"/>
    <w:rsid w:val="4412373D"/>
    <w:rsid w:val="441B3B85"/>
    <w:rsid w:val="44846EF4"/>
    <w:rsid w:val="448B20BD"/>
    <w:rsid w:val="44D00889"/>
    <w:rsid w:val="44DB3186"/>
    <w:rsid w:val="44F11AA7"/>
    <w:rsid w:val="453146CD"/>
    <w:rsid w:val="455A36D4"/>
    <w:rsid w:val="45642733"/>
    <w:rsid w:val="45FB5915"/>
    <w:rsid w:val="462875A5"/>
    <w:rsid w:val="462E6C0B"/>
    <w:rsid w:val="46A401F3"/>
    <w:rsid w:val="47077F50"/>
    <w:rsid w:val="475A0EB2"/>
    <w:rsid w:val="475B3E56"/>
    <w:rsid w:val="475E4BEA"/>
    <w:rsid w:val="47766E62"/>
    <w:rsid w:val="479E21BE"/>
    <w:rsid w:val="47CB5980"/>
    <w:rsid w:val="47E7569B"/>
    <w:rsid w:val="488739F0"/>
    <w:rsid w:val="48897310"/>
    <w:rsid w:val="48BA78DE"/>
    <w:rsid w:val="48C2276C"/>
    <w:rsid w:val="48CA70FD"/>
    <w:rsid w:val="48CB5058"/>
    <w:rsid w:val="48CC2435"/>
    <w:rsid w:val="48D511EC"/>
    <w:rsid w:val="490D4C4F"/>
    <w:rsid w:val="49777AB0"/>
    <w:rsid w:val="499814CB"/>
    <w:rsid w:val="499C42E2"/>
    <w:rsid w:val="49BE56DF"/>
    <w:rsid w:val="49FA026B"/>
    <w:rsid w:val="49FA3470"/>
    <w:rsid w:val="4A003601"/>
    <w:rsid w:val="4A301A0D"/>
    <w:rsid w:val="4A596B7C"/>
    <w:rsid w:val="4A5A5F98"/>
    <w:rsid w:val="4A5E3A23"/>
    <w:rsid w:val="4A92373A"/>
    <w:rsid w:val="4AA043AA"/>
    <w:rsid w:val="4ABA51D3"/>
    <w:rsid w:val="4ABD1A49"/>
    <w:rsid w:val="4AD16E3D"/>
    <w:rsid w:val="4AF127BB"/>
    <w:rsid w:val="4B17556D"/>
    <w:rsid w:val="4B46248B"/>
    <w:rsid w:val="4B8D6483"/>
    <w:rsid w:val="4B994F91"/>
    <w:rsid w:val="4BBD33CE"/>
    <w:rsid w:val="4BC75233"/>
    <w:rsid w:val="4C546F81"/>
    <w:rsid w:val="4C5A7393"/>
    <w:rsid w:val="4C5B7BDE"/>
    <w:rsid w:val="4C7C718B"/>
    <w:rsid w:val="4CAA6DEC"/>
    <w:rsid w:val="4CBB5870"/>
    <w:rsid w:val="4D0E12D1"/>
    <w:rsid w:val="4D2738DA"/>
    <w:rsid w:val="4D291727"/>
    <w:rsid w:val="4D2A6786"/>
    <w:rsid w:val="4D3913B2"/>
    <w:rsid w:val="4D681C3A"/>
    <w:rsid w:val="4D8409ED"/>
    <w:rsid w:val="4D976B7C"/>
    <w:rsid w:val="4DAA76F7"/>
    <w:rsid w:val="4DBE1C1A"/>
    <w:rsid w:val="4DE17BEE"/>
    <w:rsid w:val="4DEF06D0"/>
    <w:rsid w:val="4DFD3FEE"/>
    <w:rsid w:val="4DFF0486"/>
    <w:rsid w:val="4DFF3300"/>
    <w:rsid w:val="4E0C0B2F"/>
    <w:rsid w:val="4EC877D1"/>
    <w:rsid w:val="4F203DE0"/>
    <w:rsid w:val="4F247D92"/>
    <w:rsid w:val="4F72431F"/>
    <w:rsid w:val="4F840BB2"/>
    <w:rsid w:val="4FA90FFB"/>
    <w:rsid w:val="4FBE780A"/>
    <w:rsid w:val="4FD64204"/>
    <w:rsid w:val="4FF442B8"/>
    <w:rsid w:val="4FF74036"/>
    <w:rsid w:val="5023371B"/>
    <w:rsid w:val="503A7D50"/>
    <w:rsid w:val="50573EE0"/>
    <w:rsid w:val="50687EE1"/>
    <w:rsid w:val="506B01D9"/>
    <w:rsid w:val="50724B2D"/>
    <w:rsid w:val="50825ABD"/>
    <w:rsid w:val="50847E24"/>
    <w:rsid w:val="508B2042"/>
    <w:rsid w:val="50A117D4"/>
    <w:rsid w:val="50DC48AF"/>
    <w:rsid w:val="50E00577"/>
    <w:rsid w:val="50F1625A"/>
    <w:rsid w:val="5124215A"/>
    <w:rsid w:val="51320B4E"/>
    <w:rsid w:val="51746440"/>
    <w:rsid w:val="517806BF"/>
    <w:rsid w:val="519B7926"/>
    <w:rsid w:val="51B15013"/>
    <w:rsid w:val="51E62428"/>
    <w:rsid w:val="5222697F"/>
    <w:rsid w:val="52626879"/>
    <w:rsid w:val="527375B5"/>
    <w:rsid w:val="5285323E"/>
    <w:rsid w:val="52D93B7C"/>
    <w:rsid w:val="52E0721B"/>
    <w:rsid w:val="52E7467F"/>
    <w:rsid w:val="530379C0"/>
    <w:rsid w:val="5318224A"/>
    <w:rsid w:val="53211D72"/>
    <w:rsid w:val="5334399F"/>
    <w:rsid w:val="533A3138"/>
    <w:rsid w:val="534F5D51"/>
    <w:rsid w:val="537D1372"/>
    <w:rsid w:val="53D8574B"/>
    <w:rsid w:val="53FF22C9"/>
    <w:rsid w:val="54124691"/>
    <w:rsid w:val="544E4D2A"/>
    <w:rsid w:val="54A52B04"/>
    <w:rsid w:val="54D45DB6"/>
    <w:rsid w:val="55061C05"/>
    <w:rsid w:val="550D4C7E"/>
    <w:rsid w:val="55361973"/>
    <w:rsid w:val="55826059"/>
    <w:rsid w:val="55B577AC"/>
    <w:rsid w:val="55B840E3"/>
    <w:rsid w:val="55DB4169"/>
    <w:rsid w:val="56021E2A"/>
    <w:rsid w:val="560A0CCC"/>
    <w:rsid w:val="560A7BA7"/>
    <w:rsid w:val="561E24B4"/>
    <w:rsid w:val="564E6E5D"/>
    <w:rsid w:val="567233E3"/>
    <w:rsid w:val="56813D12"/>
    <w:rsid w:val="56D53EDE"/>
    <w:rsid w:val="56FE0584"/>
    <w:rsid w:val="573B17CB"/>
    <w:rsid w:val="573D4E87"/>
    <w:rsid w:val="5781514F"/>
    <w:rsid w:val="578D15B1"/>
    <w:rsid w:val="579B1500"/>
    <w:rsid w:val="57A25E51"/>
    <w:rsid w:val="57E45843"/>
    <w:rsid w:val="57F77A99"/>
    <w:rsid w:val="58036FF1"/>
    <w:rsid w:val="581F31B7"/>
    <w:rsid w:val="585B2F03"/>
    <w:rsid w:val="58803767"/>
    <w:rsid w:val="58807951"/>
    <w:rsid w:val="58B0067F"/>
    <w:rsid w:val="58DF4006"/>
    <w:rsid w:val="58E65F25"/>
    <w:rsid w:val="591D14AE"/>
    <w:rsid w:val="591F64C4"/>
    <w:rsid w:val="59272B65"/>
    <w:rsid w:val="59284BD5"/>
    <w:rsid w:val="593928F1"/>
    <w:rsid w:val="596E2614"/>
    <w:rsid w:val="59847F15"/>
    <w:rsid w:val="59B30F36"/>
    <w:rsid w:val="59D46859"/>
    <w:rsid w:val="59E35308"/>
    <w:rsid w:val="5A151319"/>
    <w:rsid w:val="5A7E4921"/>
    <w:rsid w:val="5A8A3DB1"/>
    <w:rsid w:val="5A972372"/>
    <w:rsid w:val="5AA9184E"/>
    <w:rsid w:val="5AD433FA"/>
    <w:rsid w:val="5ADC5520"/>
    <w:rsid w:val="5AE31628"/>
    <w:rsid w:val="5B1B7F7F"/>
    <w:rsid w:val="5B747B40"/>
    <w:rsid w:val="5BA3302A"/>
    <w:rsid w:val="5BC85BF2"/>
    <w:rsid w:val="5BD15CD7"/>
    <w:rsid w:val="5BD62506"/>
    <w:rsid w:val="5C1F025F"/>
    <w:rsid w:val="5C281CBF"/>
    <w:rsid w:val="5C375F97"/>
    <w:rsid w:val="5C3F2313"/>
    <w:rsid w:val="5C7F704A"/>
    <w:rsid w:val="5CD003EE"/>
    <w:rsid w:val="5CDB0255"/>
    <w:rsid w:val="5CED0783"/>
    <w:rsid w:val="5D0040C4"/>
    <w:rsid w:val="5D1B5705"/>
    <w:rsid w:val="5D2B49E2"/>
    <w:rsid w:val="5D3868D0"/>
    <w:rsid w:val="5D3D5F84"/>
    <w:rsid w:val="5D464C29"/>
    <w:rsid w:val="5D72396D"/>
    <w:rsid w:val="5D771884"/>
    <w:rsid w:val="5D96394F"/>
    <w:rsid w:val="5DBE7604"/>
    <w:rsid w:val="5DCC1CA1"/>
    <w:rsid w:val="5DF6043F"/>
    <w:rsid w:val="5DFE13F7"/>
    <w:rsid w:val="5E0A56D8"/>
    <w:rsid w:val="5E1E33A9"/>
    <w:rsid w:val="5E230800"/>
    <w:rsid w:val="5E271CE1"/>
    <w:rsid w:val="5E3B3CA9"/>
    <w:rsid w:val="5E53162C"/>
    <w:rsid w:val="5F103D27"/>
    <w:rsid w:val="5F88394B"/>
    <w:rsid w:val="5F8A6E4E"/>
    <w:rsid w:val="5F8B5C0B"/>
    <w:rsid w:val="5F924DC1"/>
    <w:rsid w:val="5F9714B5"/>
    <w:rsid w:val="5FB95257"/>
    <w:rsid w:val="5FD93159"/>
    <w:rsid w:val="5FE837F5"/>
    <w:rsid w:val="5FF6617D"/>
    <w:rsid w:val="5FFE2592"/>
    <w:rsid w:val="60107EBF"/>
    <w:rsid w:val="604134CD"/>
    <w:rsid w:val="60BC2341"/>
    <w:rsid w:val="60DB75D3"/>
    <w:rsid w:val="61161505"/>
    <w:rsid w:val="618668C8"/>
    <w:rsid w:val="61B13F9A"/>
    <w:rsid w:val="61BC05B0"/>
    <w:rsid w:val="62007B87"/>
    <w:rsid w:val="626B4E79"/>
    <w:rsid w:val="627D15E7"/>
    <w:rsid w:val="62851CDD"/>
    <w:rsid w:val="62A71108"/>
    <w:rsid w:val="62B07FBD"/>
    <w:rsid w:val="62B12EE3"/>
    <w:rsid w:val="62C872A0"/>
    <w:rsid w:val="632623AE"/>
    <w:rsid w:val="6334467B"/>
    <w:rsid w:val="634B6A33"/>
    <w:rsid w:val="63537050"/>
    <w:rsid w:val="6366073D"/>
    <w:rsid w:val="637451BA"/>
    <w:rsid w:val="63856835"/>
    <w:rsid w:val="638C7095"/>
    <w:rsid w:val="64062E85"/>
    <w:rsid w:val="64271D63"/>
    <w:rsid w:val="64393E88"/>
    <w:rsid w:val="64481CC9"/>
    <w:rsid w:val="648264B3"/>
    <w:rsid w:val="64A07A63"/>
    <w:rsid w:val="64B259E8"/>
    <w:rsid w:val="64B74F47"/>
    <w:rsid w:val="64EB5CA0"/>
    <w:rsid w:val="64F91C54"/>
    <w:rsid w:val="65031CD1"/>
    <w:rsid w:val="650352E9"/>
    <w:rsid w:val="65053E1E"/>
    <w:rsid w:val="65054FBD"/>
    <w:rsid w:val="650B73ED"/>
    <w:rsid w:val="65420171"/>
    <w:rsid w:val="65526949"/>
    <w:rsid w:val="65BF660F"/>
    <w:rsid w:val="65D5075D"/>
    <w:rsid w:val="65FC49E9"/>
    <w:rsid w:val="66100C18"/>
    <w:rsid w:val="662A0A38"/>
    <w:rsid w:val="66486107"/>
    <w:rsid w:val="66494234"/>
    <w:rsid w:val="665011DF"/>
    <w:rsid w:val="6684029B"/>
    <w:rsid w:val="669A7F65"/>
    <w:rsid w:val="66B35A7A"/>
    <w:rsid w:val="66D76328"/>
    <w:rsid w:val="66DC0AFB"/>
    <w:rsid w:val="66E50D0E"/>
    <w:rsid w:val="66EC2A81"/>
    <w:rsid w:val="67167D84"/>
    <w:rsid w:val="67247A5C"/>
    <w:rsid w:val="672B1A53"/>
    <w:rsid w:val="675D7E8D"/>
    <w:rsid w:val="6773145F"/>
    <w:rsid w:val="67C30AB2"/>
    <w:rsid w:val="67F500C6"/>
    <w:rsid w:val="680C0D40"/>
    <w:rsid w:val="682F10B1"/>
    <w:rsid w:val="683D6EF8"/>
    <w:rsid w:val="68946DA9"/>
    <w:rsid w:val="68B43480"/>
    <w:rsid w:val="68E77426"/>
    <w:rsid w:val="691C697F"/>
    <w:rsid w:val="692C3FBB"/>
    <w:rsid w:val="693A0334"/>
    <w:rsid w:val="69836008"/>
    <w:rsid w:val="69841C93"/>
    <w:rsid w:val="69892653"/>
    <w:rsid w:val="69CC7479"/>
    <w:rsid w:val="69E43C45"/>
    <w:rsid w:val="69F5715D"/>
    <w:rsid w:val="6A270136"/>
    <w:rsid w:val="6A5128E7"/>
    <w:rsid w:val="6A555782"/>
    <w:rsid w:val="6A615EE7"/>
    <w:rsid w:val="6A617017"/>
    <w:rsid w:val="6A62085F"/>
    <w:rsid w:val="6A895FA7"/>
    <w:rsid w:val="6A897109"/>
    <w:rsid w:val="6A9F20FF"/>
    <w:rsid w:val="6ABE4B5F"/>
    <w:rsid w:val="6AC04C83"/>
    <w:rsid w:val="6AD42215"/>
    <w:rsid w:val="6AEF0C5E"/>
    <w:rsid w:val="6B31046B"/>
    <w:rsid w:val="6B400911"/>
    <w:rsid w:val="6B41632D"/>
    <w:rsid w:val="6B841E8D"/>
    <w:rsid w:val="6B9F6CC6"/>
    <w:rsid w:val="6BA0669E"/>
    <w:rsid w:val="6BCB6198"/>
    <w:rsid w:val="6BFF2A41"/>
    <w:rsid w:val="6C1908AC"/>
    <w:rsid w:val="6C2D5854"/>
    <w:rsid w:val="6C6D2D0D"/>
    <w:rsid w:val="6C7453DE"/>
    <w:rsid w:val="6C855301"/>
    <w:rsid w:val="6C920FAD"/>
    <w:rsid w:val="6CBC13F4"/>
    <w:rsid w:val="6CD25BDE"/>
    <w:rsid w:val="6D016666"/>
    <w:rsid w:val="6D1F041D"/>
    <w:rsid w:val="6D4C79DE"/>
    <w:rsid w:val="6D85355A"/>
    <w:rsid w:val="6D8650A8"/>
    <w:rsid w:val="6DA97C2D"/>
    <w:rsid w:val="6DAF51BB"/>
    <w:rsid w:val="6DF767A3"/>
    <w:rsid w:val="6E000787"/>
    <w:rsid w:val="6E091096"/>
    <w:rsid w:val="6E4352D1"/>
    <w:rsid w:val="6E526272"/>
    <w:rsid w:val="6E737441"/>
    <w:rsid w:val="6E804461"/>
    <w:rsid w:val="6EBC030F"/>
    <w:rsid w:val="6EE7690C"/>
    <w:rsid w:val="6F2F55F5"/>
    <w:rsid w:val="6F64004E"/>
    <w:rsid w:val="6F833ED3"/>
    <w:rsid w:val="6FE31E38"/>
    <w:rsid w:val="700B69B6"/>
    <w:rsid w:val="7016717C"/>
    <w:rsid w:val="701F46BD"/>
    <w:rsid w:val="703C6648"/>
    <w:rsid w:val="704F6C8A"/>
    <w:rsid w:val="70512CBB"/>
    <w:rsid w:val="70B7737C"/>
    <w:rsid w:val="70D06298"/>
    <w:rsid w:val="70D37054"/>
    <w:rsid w:val="71263532"/>
    <w:rsid w:val="72085F0E"/>
    <w:rsid w:val="7248108B"/>
    <w:rsid w:val="724A05E8"/>
    <w:rsid w:val="724D54DA"/>
    <w:rsid w:val="72502DDB"/>
    <w:rsid w:val="72811853"/>
    <w:rsid w:val="72BC0523"/>
    <w:rsid w:val="72C139C6"/>
    <w:rsid w:val="72D37019"/>
    <w:rsid w:val="73840550"/>
    <w:rsid w:val="738C1DEC"/>
    <w:rsid w:val="73CD5085"/>
    <w:rsid w:val="73FD0B65"/>
    <w:rsid w:val="741065A6"/>
    <w:rsid w:val="74261C2A"/>
    <w:rsid w:val="743E4FDA"/>
    <w:rsid w:val="74454306"/>
    <w:rsid w:val="745D14B7"/>
    <w:rsid w:val="74824798"/>
    <w:rsid w:val="74BE1A94"/>
    <w:rsid w:val="7502185A"/>
    <w:rsid w:val="751F5A9C"/>
    <w:rsid w:val="7553092D"/>
    <w:rsid w:val="755B7EA8"/>
    <w:rsid w:val="7595642F"/>
    <w:rsid w:val="75DE03EB"/>
    <w:rsid w:val="76075D1D"/>
    <w:rsid w:val="762027B2"/>
    <w:rsid w:val="763F7F9F"/>
    <w:rsid w:val="76495049"/>
    <w:rsid w:val="765B589D"/>
    <w:rsid w:val="769F52A1"/>
    <w:rsid w:val="76D21F93"/>
    <w:rsid w:val="76EE55AC"/>
    <w:rsid w:val="76F220C7"/>
    <w:rsid w:val="772671D2"/>
    <w:rsid w:val="77405661"/>
    <w:rsid w:val="77440E21"/>
    <w:rsid w:val="77642B72"/>
    <w:rsid w:val="779F79D2"/>
    <w:rsid w:val="77AE4C12"/>
    <w:rsid w:val="78121F2E"/>
    <w:rsid w:val="78344EE6"/>
    <w:rsid w:val="783A61D4"/>
    <w:rsid w:val="7844255D"/>
    <w:rsid w:val="78444A87"/>
    <w:rsid w:val="784721A0"/>
    <w:rsid w:val="7885742D"/>
    <w:rsid w:val="78972FCD"/>
    <w:rsid w:val="78B54A54"/>
    <w:rsid w:val="78D90277"/>
    <w:rsid w:val="78F66B43"/>
    <w:rsid w:val="7907149F"/>
    <w:rsid w:val="792E2160"/>
    <w:rsid w:val="792E5ADB"/>
    <w:rsid w:val="793A736F"/>
    <w:rsid w:val="793D7B1F"/>
    <w:rsid w:val="795A6E1D"/>
    <w:rsid w:val="79630533"/>
    <w:rsid w:val="7972680A"/>
    <w:rsid w:val="79B35723"/>
    <w:rsid w:val="7A030083"/>
    <w:rsid w:val="7A435623"/>
    <w:rsid w:val="7A5A4664"/>
    <w:rsid w:val="7A911ED0"/>
    <w:rsid w:val="7A990E28"/>
    <w:rsid w:val="7AF00FBF"/>
    <w:rsid w:val="7B0D6371"/>
    <w:rsid w:val="7B1228E5"/>
    <w:rsid w:val="7B425546"/>
    <w:rsid w:val="7B5E2D46"/>
    <w:rsid w:val="7B62387C"/>
    <w:rsid w:val="7B631AB3"/>
    <w:rsid w:val="7B715A61"/>
    <w:rsid w:val="7B7C01F3"/>
    <w:rsid w:val="7B8E0777"/>
    <w:rsid w:val="7B9A1458"/>
    <w:rsid w:val="7BB0072A"/>
    <w:rsid w:val="7BC71E77"/>
    <w:rsid w:val="7BF662EE"/>
    <w:rsid w:val="7BF7021D"/>
    <w:rsid w:val="7BFF10BB"/>
    <w:rsid w:val="7C536936"/>
    <w:rsid w:val="7C585E3C"/>
    <w:rsid w:val="7C816FEB"/>
    <w:rsid w:val="7CAA7279"/>
    <w:rsid w:val="7CE945FD"/>
    <w:rsid w:val="7CF01E50"/>
    <w:rsid w:val="7D254BDC"/>
    <w:rsid w:val="7D2D083F"/>
    <w:rsid w:val="7D455812"/>
    <w:rsid w:val="7D703797"/>
    <w:rsid w:val="7D783084"/>
    <w:rsid w:val="7D90280C"/>
    <w:rsid w:val="7DD11077"/>
    <w:rsid w:val="7DF7205D"/>
    <w:rsid w:val="7E597CD7"/>
    <w:rsid w:val="7E5A355A"/>
    <w:rsid w:val="7EB0558F"/>
    <w:rsid w:val="7EF62377"/>
    <w:rsid w:val="7EF96EB6"/>
    <w:rsid w:val="7EFF54A2"/>
    <w:rsid w:val="7F0A2079"/>
    <w:rsid w:val="7F1B49D7"/>
    <w:rsid w:val="7F3D15CE"/>
    <w:rsid w:val="7F4A43D7"/>
    <w:rsid w:val="7F9E2999"/>
    <w:rsid w:val="7FA6487B"/>
    <w:rsid w:val="7FBA00B3"/>
    <w:rsid w:val="7FDD30DF"/>
    <w:rsid w:val="7FED4908"/>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link w:val="58"/>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link w:val="41"/>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3"/>
    <w:qFormat/>
    <w:uiPriority w:val="0"/>
    <w:rPr>
      <w:rFonts w:ascii="宋体"/>
      <w:sz w:val="18"/>
      <w:szCs w:val="18"/>
    </w:rPr>
  </w:style>
  <w:style w:type="paragraph" w:styleId="8">
    <w:name w:val="annotation text"/>
    <w:basedOn w:val="1"/>
    <w:link w:val="34"/>
    <w:qFormat/>
    <w:uiPriority w:val="99"/>
    <w:pPr>
      <w:jc w:val="left"/>
    </w:pPr>
    <w:rPr>
      <w:rFonts w:ascii="仿宋_GB2312" w:eastAsia="仿宋_GB2312"/>
      <w:sz w:val="32"/>
      <w:szCs w:val="32"/>
    </w:r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Body Text Indent"/>
    <w:basedOn w:val="1"/>
    <w:next w:val="11"/>
    <w:link w:val="40"/>
    <w:qFormat/>
    <w:uiPriority w:val="0"/>
    <w:pPr>
      <w:spacing w:after="120"/>
      <w:ind w:left="420" w:leftChars="200"/>
    </w:pPr>
  </w:style>
  <w:style w:type="paragraph" w:styleId="11">
    <w:name w:val="envelope return"/>
    <w:basedOn w:val="1"/>
    <w:qFormat/>
    <w:uiPriority w:val="99"/>
    <w:pPr>
      <w:snapToGrid w:val="0"/>
      <w:ind w:firstLine="200"/>
    </w:pPr>
    <w:rPr>
      <w:rFonts w:ascii="Arial" w:hAnsi="Arial" w:cs="Arial"/>
      <w:kern w:val="0"/>
    </w:rPr>
  </w:style>
  <w:style w:type="paragraph" w:styleId="12">
    <w:name w:val="toc 3"/>
    <w:basedOn w:val="1"/>
    <w:next w:val="1"/>
    <w:link w:val="37"/>
    <w:qFormat/>
    <w:uiPriority w:val="39"/>
    <w:pPr>
      <w:spacing w:line="500" w:lineRule="exact"/>
      <w:ind w:left="400" w:leftChars="400"/>
    </w:pPr>
    <w:rPr>
      <w:kern w:val="0"/>
      <w:sz w:val="24"/>
      <w:szCs w:val="20"/>
    </w:rPr>
  </w:style>
  <w:style w:type="paragraph" w:styleId="13">
    <w:name w:val="Plain Text"/>
    <w:basedOn w:val="1"/>
    <w:link w:val="38"/>
    <w:qFormat/>
    <w:uiPriority w:val="0"/>
    <w:rPr>
      <w:rFonts w:ascii="宋体" w:hAnsi="Courier New"/>
      <w:szCs w:val="20"/>
    </w:rPr>
  </w:style>
  <w:style w:type="paragraph" w:styleId="14">
    <w:name w:val="Date"/>
    <w:basedOn w:val="1"/>
    <w:next w:val="1"/>
    <w:link w:val="42"/>
    <w:qFormat/>
    <w:uiPriority w:val="0"/>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39"/>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left" w:pos="1260"/>
        <w:tab w:val="right" w:leader="dot" w:pos="9060"/>
      </w:tabs>
      <w:spacing w:line="500" w:lineRule="exact"/>
    </w:pPr>
    <w:rPr>
      <w:sz w:val="24"/>
    </w:rPr>
  </w:style>
  <w:style w:type="paragraph" w:styleId="20">
    <w:name w:val="toc 2"/>
    <w:basedOn w:val="1"/>
    <w:next w:val="1"/>
    <w:qFormat/>
    <w:uiPriority w:val="39"/>
    <w:pPr>
      <w:spacing w:line="500" w:lineRule="exact"/>
      <w:ind w:left="200" w:leftChars="200"/>
    </w:pPr>
    <w:rPr>
      <w:sz w:val="24"/>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index 1"/>
    <w:basedOn w:val="1"/>
    <w:next w:val="1"/>
    <w:semiHidden/>
    <w:qFormat/>
    <w:uiPriority w:val="0"/>
    <w:rPr>
      <w:szCs w:val="20"/>
    </w:rPr>
  </w:style>
  <w:style w:type="paragraph" w:styleId="23">
    <w:name w:val="annotation subject"/>
    <w:basedOn w:val="8"/>
    <w:next w:val="8"/>
    <w:semiHidden/>
    <w:qFormat/>
    <w:uiPriority w:val="0"/>
    <w:rPr>
      <w:rFonts w:ascii="Times New Roman" w:eastAsia="宋体"/>
      <w:b/>
      <w:bCs/>
      <w:sz w:val="21"/>
      <w:szCs w:val="24"/>
    </w:rPr>
  </w:style>
  <w:style w:type="paragraph" w:styleId="24">
    <w:name w:val="Body Text First Indent 2"/>
    <w:basedOn w:val="10"/>
    <w:qFormat/>
    <w:uiPriority w:val="99"/>
    <w:pPr>
      <w:ind w:left="0" w:leftChars="0" w:firstLine="210"/>
    </w:pPr>
    <w:rPr>
      <w:rFonts w:ascii="宋体" w:hAnsi="宋体" w:cs="宋体"/>
      <w:sz w:val="28"/>
      <w:szCs w:val="28"/>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basedOn w:val="27"/>
    <w:qFormat/>
    <w:uiPriority w:val="0"/>
    <w:rPr>
      <w:color w:val="800080"/>
      <w:u w:val="single"/>
    </w:rPr>
  </w:style>
  <w:style w:type="character" w:styleId="31">
    <w:name w:val="Hyperlink"/>
    <w:basedOn w:val="27"/>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文档结构图 字符"/>
    <w:link w:val="7"/>
    <w:qFormat/>
    <w:uiPriority w:val="0"/>
    <w:rPr>
      <w:rFonts w:ascii="宋体" w:eastAsia="宋体"/>
      <w:kern w:val="2"/>
      <w:sz w:val="18"/>
      <w:szCs w:val="18"/>
      <w:lang w:val="en-US" w:eastAsia="zh-CN" w:bidi="ar-SA"/>
    </w:rPr>
  </w:style>
  <w:style w:type="character" w:customStyle="1" w:styleId="34">
    <w:name w:val="批注文字 字符"/>
    <w:link w:val="8"/>
    <w:qFormat/>
    <w:uiPriority w:val="99"/>
    <w:rPr>
      <w:rFonts w:ascii="仿宋_GB2312" w:eastAsia="仿宋_GB2312"/>
      <w:kern w:val="2"/>
      <w:sz w:val="32"/>
      <w:szCs w:val="32"/>
    </w:rPr>
  </w:style>
  <w:style w:type="character" w:customStyle="1" w:styleId="35">
    <w:name w:val="样式（正文） Char"/>
    <w:link w:val="36"/>
    <w:qFormat/>
    <w:locked/>
    <w:uiPriority w:val="0"/>
    <w:rPr>
      <w:rFonts w:ascii="宋体" w:hAnsi="宋体" w:eastAsia="宋体"/>
      <w:kern w:val="2"/>
      <w:sz w:val="24"/>
      <w:szCs w:val="22"/>
      <w:lang w:bidi="ar-SA"/>
    </w:rPr>
  </w:style>
  <w:style w:type="paragraph" w:customStyle="1" w:styleId="36">
    <w:name w:val="样式（正文）"/>
    <w:basedOn w:val="1"/>
    <w:link w:val="35"/>
    <w:qFormat/>
    <w:uiPriority w:val="0"/>
    <w:pPr>
      <w:spacing w:line="360" w:lineRule="auto"/>
      <w:ind w:firstLine="200" w:firstLineChars="200"/>
    </w:pPr>
    <w:rPr>
      <w:rFonts w:ascii="宋体" w:hAnsi="宋体"/>
      <w:sz w:val="24"/>
      <w:szCs w:val="22"/>
    </w:rPr>
  </w:style>
  <w:style w:type="character" w:customStyle="1" w:styleId="37">
    <w:name w:val="TOC 3 字符"/>
    <w:link w:val="12"/>
    <w:qFormat/>
    <w:uiPriority w:val="39"/>
    <w:rPr>
      <w:sz w:val="24"/>
    </w:rPr>
  </w:style>
  <w:style w:type="character" w:customStyle="1" w:styleId="38">
    <w:name w:val="纯文本 字符"/>
    <w:link w:val="13"/>
    <w:qFormat/>
    <w:uiPriority w:val="0"/>
    <w:rPr>
      <w:rFonts w:ascii="宋体" w:hAnsi="Courier New"/>
      <w:kern w:val="2"/>
      <w:sz w:val="21"/>
    </w:rPr>
  </w:style>
  <w:style w:type="character" w:customStyle="1" w:styleId="39">
    <w:name w:val="页脚 字符"/>
    <w:basedOn w:val="27"/>
    <w:link w:val="17"/>
    <w:qFormat/>
    <w:uiPriority w:val="99"/>
    <w:rPr>
      <w:kern w:val="2"/>
      <w:sz w:val="18"/>
      <w:szCs w:val="18"/>
    </w:rPr>
  </w:style>
  <w:style w:type="character" w:customStyle="1" w:styleId="40">
    <w:name w:val="正文文本缩进 字符"/>
    <w:link w:val="10"/>
    <w:qFormat/>
    <w:uiPriority w:val="0"/>
  </w:style>
  <w:style w:type="character" w:customStyle="1" w:styleId="41">
    <w:name w:val="正文缩进 字符"/>
    <w:link w:val="5"/>
    <w:qFormat/>
    <w:uiPriority w:val="0"/>
    <w:rPr>
      <w:rFonts w:ascii="宋体" w:eastAsia="宋体"/>
      <w:sz w:val="24"/>
      <w:lang w:val="en-US" w:eastAsia="zh-CN" w:bidi="ar-SA"/>
    </w:rPr>
  </w:style>
  <w:style w:type="character" w:customStyle="1" w:styleId="42">
    <w:name w:val="日期 字符"/>
    <w:basedOn w:val="27"/>
    <w:link w:val="14"/>
    <w:qFormat/>
    <w:uiPriority w:val="0"/>
    <w:rPr>
      <w:kern w:val="2"/>
      <w:sz w:val="21"/>
      <w:szCs w:val="24"/>
    </w:rPr>
  </w:style>
  <w:style w:type="paragraph" w:customStyle="1" w:styleId="43">
    <w:name w:val="Char Char1"/>
    <w:basedOn w:val="1"/>
    <w:qFormat/>
    <w:uiPriority w:val="0"/>
  </w:style>
  <w:style w:type="paragraph" w:customStyle="1" w:styleId="44">
    <w:name w:val="p0"/>
    <w:basedOn w:val="1"/>
    <w:qFormat/>
    <w:uiPriority w:val="0"/>
    <w:pPr>
      <w:widowControl/>
      <w:snapToGrid w:val="0"/>
      <w:spacing w:after="200"/>
      <w:jc w:val="left"/>
    </w:pPr>
    <w:rPr>
      <w:rFonts w:ascii="Tahoma" w:hAnsi="Tahoma" w:cs="Tahoma"/>
      <w:kern w:val="0"/>
      <w:sz w:val="22"/>
      <w:szCs w:val="22"/>
    </w:rPr>
  </w:style>
  <w:style w:type="paragraph" w:customStyle="1" w:styleId="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Char1"/>
    <w:basedOn w:val="1"/>
    <w:qFormat/>
    <w:uiPriority w:val="0"/>
    <w:rPr>
      <w:rFonts w:ascii="Tahoma" w:hAnsi="Tahoma"/>
      <w:sz w:val="24"/>
      <w:szCs w:val="20"/>
    </w:rPr>
  </w:style>
  <w:style w:type="paragraph" w:customStyle="1" w:styleId="47">
    <w:name w:val="Char"/>
    <w:basedOn w:val="1"/>
    <w:qFormat/>
    <w:uiPriority w:val="0"/>
    <w:pPr>
      <w:tabs>
        <w:tab w:val="left" w:pos="432"/>
      </w:tabs>
      <w:spacing w:beforeLines="50" w:afterLines="50"/>
      <w:ind w:left="864" w:hanging="432"/>
    </w:pPr>
    <w:rPr>
      <w:sz w:val="24"/>
    </w:rPr>
  </w:style>
  <w:style w:type="paragraph" w:customStyle="1" w:styleId="48">
    <w:name w:val="样式 标题 2 + 段后: 156 磅"/>
    <w:basedOn w:val="4"/>
    <w:qFormat/>
    <w:uiPriority w:val="0"/>
    <w:pPr>
      <w:spacing w:before="100" w:after="100" w:line="240" w:lineRule="auto"/>
    </w:pPr>
    <w:rPr>
      <w:rFonts w:cs="宋体"/>
      <w:bCs/>
      <w:sz w:val="30"/>
    </w:rPr>
  </w:style>
  <w:style w:type="paragraph" w:customStyle="1" w:styleId="49">
    <w:name w:val="Char Char11"/>
    <w:basedOn w:val="1"/>
    <w:qFormat/>
    <w:uiPriority w:val="0"/>
    <w:rPr>
      <w:szCs w:val="20"/>
    </w:rPr>
  </w:style>
  <w:style w:type="paragraph" w:customStyle="1" w:styleId="50">
    <w:name w:val="样式1"/>
    <w:basedOn w:val="6"/>
    <w:qFormat/>
    <w:uiPriority w:val="0"/>
    <w:pPr>
      <w:jc w:val="center"/>
    </w:pPr>
  </w:style>
  <w:style w:type="paragraph" w:customStyle="1" w:styleId="51">
    <w:name w:val="列出段落1"/>
    <w:basedOn w:val="1"/>
    <w:qFormat/>
    <w:uiPriority w:val="34"/>
    <w:pPr>
      <w:ind w:firstLine="420" w:firstLineChars="200"/>
    </w:pPr>
    <w:rPr>
      <w:rFonts w:ascii="Calibri" w:hAnsi="Calibri"/>
      <w:szCs w:val="22"/>
    </w:rPr>
  </w:style>
  <w:style w:type="paragraph" w:customStyle="1" w:styleId="52">
    <w:name w:val="Char11"/>
    <w:basedOn w:val="1"/>
    <w:qFormat/>
    <w:uiPriority w:val="0"/>
    <w:rPr>
      <w:rFonts w:ascii="Tahoma" w:hAnsi="Tahoma"/>
      <w:sz w:val="24"/>
      <w:szCs w:val="20"/>
    </w:rPr>
  </w:style>
  <w:style w:type="paragraph" w:customStyle="1" w:styleId="53">
    <w:name w:val="Char2"/>
    <w:basedOn w:val="1"/>
    <w:next w:val="1"/>
    <w:qFormat/>
    <w:uiPriority w:val="0"/>
    <w:pPr>
      <w:widowControl/>
      <w:spacing w:line="360" w:lineRule="auto"/>
      <w:jc w:val="left"/>
    </w:pPr>
    <w:rPr>
      <w:kern w:val="0"/>
      <w:szCs w:val="20"/>
      <w:lang w:eastAsia="en-US"/>
    </w:rPr>
  </w:style>
  <w:style w:type="paragraph" w:customStyle="1" w:styleId="54">
    <w:name w:val="表文"/>
    <w:basedOn w:val="1"/>
    <w:qFormat/>
    <w:uiPriority w:val="0"/>
    <w:rPr>
      <w:rFonts w:ascii="宋体" w:hAnsi="宋体" w:cs="宋体"/>
      <w:color w:val="000000"/>
      <w:kern w:val="0"/>
      <w:szCs w:val="21"/>
    </w:rPr>
  </w:style>
  <w:style w:type="paragraph" w:customStyle="1" w:styleId="5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批注文字 Char1"/>
    <w:basedOn w:val="27"/>
    <w:semiHidden/>
    <w:qFormat/>
    <w:uiPriority w:val="99"/>
    <w:rPr>
      <w:rFonts w:ascii="Times New Roman" w:hAnsi="Times New Roman" w:eastAsia="宋体" w:cs="Times New Roman"/>
      <w:szCs w:val="24"/>
    </w:rPr>
  </w:style>
  <w:style w:type="paragraph" w:styleId="57">
    <w:name w:val="List Paragraph"/>
    <w:basedOn w:val="1"/>
    <w:qFormat/>
    <w:uiPriority w:val="99"/>
    <w:pPr>
      <w:ind w:firstLine="420" w:firstLineChars="200"/>
    </w:pPr>
  </w:style>
  <w:style w:type="character" w:customStyle="1" w:styleId="58">
    <w:name w:val="标题 3 字符"/>
    <w:basedOn w:val="27"/>
    <w:link w:val="6"/>
    <w:qFormat/>
    <w:uiPriority w:val="0"/>
    <w:rPr>
      <w:rFonts w:ascii="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A5DA2-E0DE-4CA3-9496-850098DB261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16029</Words>
  <Characters>17279</Characters>
  <Lines>200</Lines>
  <Paragraphs>56</Paragraphs>
  <TotalTime>44</TotalTime>
  <ScaleCrop>false</ScaleCrop>
  <LinksUpToDate>false</LinksUpToDate>
  <CharactersWithSpaces>19697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谁共我 醉明月</cp:lastModifiedBy>
  <cp:lastPrinted>2022-09-09T08:16:00Z</cp:lastPrinted>
  <dcterms:modified xsi:type="dcterms:W3CDTF">2022-09-20T02:14:00Z</dcterms:modified>
  <dc:title>招标文件</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60EBC7162CD440319555214B04239EC1</vt:lpwstr>
  </property>
</Properties>
</file>